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29" w:rsidRPr="004D72EB" w:rsidRDefault="00381C80" w:rsidP="00502029">
      <w:pPr>
        <w:jc w:val="center"/>
        <w:rPr>
          <w:rFonts w:ascii="Arial" w:eastAsia="Times New Roman" w:hAnsi="Arial" w:cs="Arial"/>
          <w:sz w:val="32"/>
          <w:szCs w:val="32"/>
        </w:rPr>
      </w:pPr>
      <w:r w:rsidRPr="004D72EB">
        <w:rPr>
          <w:rFonts w:ascii="Arial" w:hAnsi="Arial" w:cs="Arial"/>
          <w:b/>
          <w:sz w:val="32"/>
          <w:szCs w:val="32"/>
        </w:rPr>
        <w:t xml:space="preserve">Use of </w:t>
      </w:r>
      <w:proofErr w:type="spellStart"/>
      <w:r w:rsidRPr="004D72EB">
        <w:rPr>
          <w:rFonts w:ascii="Arial" w:hAnsi="Arial" w:cs="Arial"/>
          <w:b/>
          <w:sz w:val="32"/>
          <w:szCs w:val="32"/>
        </w:rPr>
        <w:t>Lawesson’s</w:t>
      </w:r>
      <w:proofErr w:type="spellEnd"/>
      <w:r w:rsidRPr="004D72EB">
        <w:rPr>
          <w:rFonts w:ascii="Arial" w:hAnsi="Arial" w:cs="Arial"/>
          <w:b/>
          <w:sz w:val="32"/>
          <w:szCs w:val="32"/>
        </w:rPr>
        <w:t xml:space="preserve"> Reagent in </w:t>
      </w:r>
      <w:r w:rsidR="004D72EB" w:rsidRPr="004D72EB">
        <w:rPr>
          <w:rFonts w:ascii="Arial" w:hAnsi="Arial" w:cs="Arial"/>
          <w:b/>
          <w:sz w:val="32"/>
          <w:szCs w:val="32"/>
        </w:rPr>
        <w:t xml:space="preserve">the </w:t>
      </w:r>
      <w:r w:rsidRPr="004D72EB">
        <w:rPr>
          <w:rFonts w:ascii="Arial" w:hAnsi="Arial" w:cs="Arial"/>
          <w:b/>
          <w:sz w:val="32"/>
          <w:szCs w:val="32"/>
        </w:rPr>
        <w:t xml:space="preserve">Synthesis of Novel </w:t>
      </w:r>
      <w:proofErr w:type="spellStart"/>
      <w:r w:rsidRPr="004D72EB">
        <w:rPr>
          <w:rFonts w:ascii="Arial" w:hAnsi="Arial" w:cs="Arial"/>
          <w:b/>
          <w:sz w:val="32"/>
          <w:szCs w:val="32"/>
        </w:rPr>
        <w:t>Thiocarbonyl</w:t>
      </w:r>
      <w:proofErr w:type="spellEnd"/>
      <w:r w:rsidRPr="004D72EB">
        <w:rPr>
          <w:rFonts w:ascii="Arial" w:hAnsi="Arial" w:cs="Arial"/>
          <w:b/>
          <w:sz w:val="32"/>
          <w:szCs w:val="32"/>
        </w:rPr>
        <w:t xml:space="preserve"> Compounds</w:t>
      </w:r>
    </w:p>
    <w:p w:rsidR="003D2445" w:rsidRPr="004D72EB" w:rsidRDefault="003D2445" w:rsidP="00502029">
      <w:pPr>
        <w:jc w:val="center"/>
        <w:rPr>
          <w:rFonts w:ascii="Arial" w:eastAsia="Times New Roman" w:hAnsi="Arial" w:cs="Arial"/>
          <w:sz w:val="28"/>
          <w:szCs w:val="28"/>
        </w:rPr>
      </w:pPr>
      <w:r w:rsidRPr="004D72EB">
        <w:rPr>
          <w:rFonts w:ascii="Arial" w:eastAsia="Times New Roman" w:hAnsi="Arial" w:cs="Arial"/>
          <w:sz w:val="28"/>
          <w:szCs w:val="28"/>
        </w:rPr>
        <w:t>Priyanshi Gupta</w:t>
      </w:r>
    </w:p>
    <w:p w:rsidR="003D2445" w:rsidRDefault="003D2445" w:rsidP="003D2445">
      <w:pPr>
        <w:jc w:val="center"/>
        <w:rPr>
          <w:rFonts w:ascii="Arial" w:eastAsia="Times New Roman" w:hAnsi="Arial" w:cs="Arial"/>
          <w:sz w:val="24"/>
          <w:szCs w:val="24"/>
        </w:rPr>
      </w:pPr>
      <w:r w:rsidRPr="004D72EB">
        <w:rPr>
          <w:rFonts w:ascii="Arial" w:eastAsia="Times New Roman" w:hAnsi="Arial" w:cs="Arial"/>
          <w:sz w:val="24"/>
          <w:szCs w:val="24"/>
        </w:rPr>
        <w:t>Department of Chemistry, IIS</w:t>
      </w:r>
      <w:r w:rsidR="00381C80" w:rsidRPr="004D72EB">
        <w:rPr>
          <w:rFonts w:ascii="Arial" w:eastAsia="Times New Roman" w:hAnsi="Arial" w:cs="Arial"/>
          <w:sz w:val="24"/>
          <w:szCs w:val="24"/>
        </w:rPr>
        <w:t xml:space="preserve"> </w:t>
      </w:r>
      <w:r w:rsidRPr="004D72EB">
        <w:rPr>
          <w:rFonts w:ascii="Arial" w:eastAsia="Times New Roman" w:hAnsi="Arial" w:cs="Arial"/>
          <w:sz w:val="24"/>
          <w:szCs w:val="24"/>
        </w:rPr>
        <w:t xml:space="preserve">(Deemed to be) University, </w:t>
      </w:r>
      <w:proofErr w:type="spellStart"/>
      <w:r w:rsidRPr="004D72EB">
        <w:rPr>
          <w:rFonts w:ascii="Arial" w:eastAsia="Times New Roman" w:hAnsi="Arial" w:cs="Arial"/>
          <w:sz w:val="24"/>
          <w:szCs w:val="24"/>
        </w:rPr>
        <w:t>Jaipur</w:t>
      </w:r>
      <w:proofErr w:type="spellEnd"/>
      <w:r w:rsidRPr="004D72EB">
        <w:rPr>
          <w:rFonts w:ascii="Arial" w:eastAsia="Times New Roman" w:hAnsi="Arial" w:cs="Arial"/>
          <w:sz w:val="24"/>
          <w:szCs w:val="24"/>
        </w:rPr>
        <w:t>- 302020</w:t>
      </w:r>
    </w:p>
    <w:p w:rsidR="004D72EB" w:rsidRPr="004D72EB" w:rsidRDefault="004D72EB" w:rsidP="003D2445">
      <w:pPr>
        <w:jc w:val="center"/>
        <w:rPr>
          <w:rFonts w:ascii="Arial" w:eastAsia="Times New Roman" w:hAnsi="Arial" w:cs="Arial"/>
          <w:sz w:val="20"/>
          <w:szCs w:val="20"/>
        </w:rPr>
      </w:pPr>
      <w:r w:rsidRPr="004D72EB">
        <w:rPr>
          <w:rFonts w:ascii="Arial" w:eastAsia="Times New Roman" w:hAnsi="Arial" w:cs="Arial"/>
          <w:sz w:val="20"/>
          <w:szCs w:val="20"/>
        </w:rPr>
        <w:t xml:space="preserve">Email: </w:t>
      </w:r>
      <w:r w:rsidRPr="004D72EB">
        <w:rPr>
          <w:rFonts w:ascii="Arial" w:hAnsi="Arial" w:cs="Arial"/>
          <w:color w:val="555555"/>
          <w:sz w:val="20"/>
          <w:szCs w:val="20"/>
          <w:shd w:val="clear" w:color="auto" w:fill="FFFFFF"/>
        </w:rPr>
        <w:t>priyanshigupta609@gmail.com</w:t>
      </w:r>
    </w:p>
    <w:p w:rsidR="003D2445" w:rsidRPr="004D72EB" w:rsidRDefault="003D2445" w:rsidP="004D72EB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D72EB">
        <w:rPr>
          <w:rFonts w:ascii="Arial" w:eastAsia="Times New Roman" w:hAnsi="Arial" w:cs="Arial"/>
          <w:sz w:val="20"/>
          <w:szCs w:val="20"/>
        </w:rPr>
        <w:t>Lawesson’s</w:t>
      </w:r>
      <w:proofErr w:type="spellEnd"/>
      <w:r w:rsidRPr="004D72EB">
        <w:rPr>
          <w:rFonts w:ascii="Arial" w:eastAsia="Times New Roman" w:hAnsi="Arial" w:cs="Arial"/>
          <w:sz w:val="20"/>
          <w:szCs w:val="20"/>
        </w:rPr>
        <w:t xml:space="preserve"> reagent [2</w:t>
      </w:r>
      <w:proofErr w:type="gramStart"/>
      <w:r w:rsidRPr="004D72EB">
        <w:rPr>
          <w:rFonts w:ascii="Arial" w:eastAsia="Times New Roman" w:hAnsi="Arial" w:cs="Arial"/>
          <w:sz w:val="20"/>
          <w:szCs w:val="20"/>
        </w:rPr>
        <w:t>,4</w:t>
      </w:r>
      <w:proofErr w:type="gramEnd"/>
      <w:r w:rsidRPr="004D72EB">
        <w:rPr>
          <w:rFonts w:ascii="Arial" w:eastAsia="Times New Roman" w:hAnsi="Arial" w:cs="Arial"/>
          <w:sz w:val="20"/>
          <w:szCs w:val="20"/>
        </w:rPr>
        <w:t xml:space="preserve">-bis(p-methoxyphenyl)-1,3,2,4-dithiadiphosphethane-2,4-disulfide] </w:t>
      </w:r>
      <w:r w:rsidR="004D72EB" w:rsidRPr="004D72EB">
        <w:rPr>
          <w:rFonts w:ascii="Arial" w:eastAsia="Times New Roman" w:hAnsi="Arial" w:cs="Arial"/>
          <w:sz w:val="20"/>
          <w:szCs w:val="20"/>
        </w:rPr>
        <w:t xml:space="preserve">(Figure 1) </w:t>
      </w:r>
      <w:r w:rsidRPr="004D72EB">
        <w:rPr>
          <w:rFonts w:ascii="Arial" w:eastAsia="Times New Roman" w:hAnsi="Arial" w:cs="Arial"/>
          <w:sz w:val="20"/>
          <w:szCs w:val="20"/>
        </w:rPr>
        <w:t>is a versatile agent used for  thionation of carbonyl compounds. It is reported that reactions using the comparable reagent P</w:t>
      </w:r>
      <w:r w:rsidRPr="004D72EB">
        <w:rPr>
          <w:rFonts w:ascii="Arial" w:eastAsia="Times New Roman" w:hAnsi="Arial" w:cs="Arial"/>
          <w:sz w:val="20"/>
          <w:szCs w:val="20"/>
          <w:vertAlign w:val="subscript"/>
        </w:rPr>
        <w:t>4</w:t>
      </w:r>
      <w:r w:rsidRPr="004D72EB">
        <w:rPr>
          <w:rFonts w:ascii="Arial" w:eastAsia="Times New Roman" w:hAnsi="Arial" w:cs="Arial"/>
          <w:sz w:val="20"/>
          <w:szCs w:val="20"/>
        </w:rPr>
        <w:t>S</w:t>
      </w:r>
      <w:r w:rsidRPr="004D72EB">
        <w:rPr>
          <w:rFonts w:ascii="Arial" w:eastAsia="Times New Roman" w:hAnsi="Arial" w:cs="Arial"/>
          <w:sz w:val="20"/>
          <w:szCs w:val="20"/>
          <w:vertAlign w:val="subscript"/>
        </w:rPr>
        <w:t xml:space="preserve">10 </w:t>
      </w:r>
      <w:r w:rsidRPr="004D72EB">
        <w:rPr>
          <w:rFonts w:ascii="Arial" w:eastAsia="Times New Roman" w:hAnsi="Arial" w:cs="Arial"/>
          <w:sz w:val="20"/>
          <w:szCs w:val="20"/>
        </w:rPr>
        <w:t>normally need higher temperature and large excess of thionating agent. However, the use of this reagent is popular on account of it producing high y</w:t>
      </w:r>
      <w:r w:rsidR="00381C80" w:rsidRPr="004D72EB">
        <w:rPr>
          <w:rFonts w:ascii="Arial" w:eastAsia="Times New Roman" w:hAnsi="Arial" w:cs="Arial"/>
          <w:sz w:val="20"/>
          <w:szCs w:val="20"/>
        </w:rPr>
        <w:t xml:space="preserve">ields, </w:t>
      </w:r>
      <w:proofErr w:type="spellStart"/>
      <w:r w:rsidR="00381C80" w:rsidRPr="004D72EB">
        <w:rPr>
          <w:rFonts w:ascii="Arial" w:eastAsia="Times New Roman" w:hAnsi="Arial" w:cs="Arial"/>
          <w:sz w:val="20"/>
          <w:szCs w:val="20"/>
        </w:rPr>
        <w:t>its</w:t>
      </w:r>
      <w:proofErr w:type="spellEnd"/>
      <w:r w:rsidR="00381C80" w:rsidRPr="004D72EB">
        <w:rPr>
          <w:rFonts w:ascii="Arial" w:eastAsia="Times New Roman" w:hAnsi="Arial" w:cs="Arial"/>
          <w:sz w:val="20"/>
          <w:szCs w:val="20"/>
        </w:rPr>
        <w:t xml:space="preserve"> convenient handling,</w:t>
      </w:r>
      <w:r w:rsidRPr="004D72EB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4D72EB">
        <w:rPr>
          <w:rFonts w:ascii="Arial" w:eastAsia="Times New Roman" w:hAnsi="Arial" w:cs="Arial"/>
          <w:sz w:val="20"/>
          <w:szCs w:val="20"/>
        </w:rPr>
        <w:t>its</w:t>
      </w:r>
      <w:proofErr w:type="spellEnd"/>
      <w:r w:rsidRPr="004D72EB">
        <w:rPr>
          <w:rFonts w:ascii="Arial" w:eastAsia="Times New Roman" w:hAnsi="Arial" w:cs="Arial"/>
          <w:sz w:val="20"/>
          <w:szCs w:val="20"/>
        </w:rPr>
        <w:t xml:space="preserve"> easy work up and easy availability. In the present review, various synthetic routes employing the use of Lawesson’s Reagent (LR) for the synthesis of thiocarbonyl compounds has been compiled. </w:t>
      </w:r>
    </w:p>
    <w:p w:rsidR="003D2445" w:rsidRPr="004D72EB" w:rsidRDefault="003D2445" w:rsidP="004D72EB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D72EB">
        <w:rPr>
          <w:rFonts w:ascii="Arial" w:eastAsia="Times New Roman" w:hAnsi="Arial" w:cs="Arial"/>
          <w:sz w:val="20"/>
          <w:szCs w:val="20"/>
        </w:rPr>
        <w:t xml:space="preserve">LR can be obtained readily by </w:t>
      </w:r>
      <w:r w:rsidR="004D72EB" w:rsidRPr="004D72EB">
        <w:rPr>
          <w:rFonts w:ascii="Arial" w:eastAsia="Times New Roman" w:hAnsi="Arial" w:cs="Arial"/>
          <w:sz w:val="20"/>
          <w:szCs w:val="20"/>
        </w:rPr>
        <w:t xml:space="preserve">the </w:t>
      </w:r>
      <w:r w:rsidRPr="004D72EB">
        <w:rPr>
          <w:rFonts w:ascii="Arial" w:eastAsia="Times New Roman" w:hAnsi="Arial" w:cs="Arial"/>
          <w:sz w:val="20"/>
          <w:szCs w:val="20"/>
        </w:rPr>
        <w:t xml:space="preserve">reaction of phosphorus </w:t>
      </w:r>
      <w:proofErr w:type="spellStart"/>
      <w:r w:rsidRPr="004D72EB">
        <w:rPr>
          <w:rFonts w:ascii="Arial" w:eastAsia="Times New Roman" w:hAnsi="Arial" w:cs="Arial"/>
          <w:sz w:val="20"/>
          <w:szCs w:val="20"/>
        </w:rPr>
        <w:t>pentasulfide</w:t>
      </w:r>
      <w:proofErr w:type="spellEnd"/>
      <w:r w:rsidRPr="004D72EB">
        <w:rPr>
          <w:rFonts w:ascii="Arial" w:eastAsia="Times New Roman" w:hAnsi="Arial" w:cs="Arial"/>
          <w:sz w:val="20"/>
          <w:szCs w:val="20"/>
        </w:rPr>
        <w:t xml:space="preserve"> with anisole or reaction of red phosphorus, elemental sulfur and anis</w:t>
      </w:r>
      <w:r w:rsidR="00502029" w:rsidRPr="004D72EB">
        <w:rPr>
          <w:rFonts w:ascii="Arial" w:eastAsia="Times New Roman" w:hAnsi="Arial" w:cs="Arial"/>
          <w:sz w:val="20"/>
          <w:szCs w:val="20"/>
        </w:rPr>
        <w:t>ole in moderate yields</w:t>
      </w:r>
      <w:r w:rsidRPr="004D72EB">
        <w:rPr>
          <w:rFonts w:ascii="Arial" w:eastAsia="Times New Roman" w:hAnsi="Arial" w:cs="Arial"/>
          <w:sz w:val="20"/>
          <w:szCs w:val="20"/>
        </w:rPr>
        <w:t>.  </w:t>
      </w:r>
    </w:p>
    <w:p w:rsidR="003D2445" w:rsidRPr="004D72EB" w:rsidRDefault="003D2445" w:rsidP="003D2445">
      <w:pPr>
        <w:jc w:val="center"/>
        <w:rPr>
          <w:rFonts w:ascii="Arial" w:eastAsia="Times New Roman" w:hAnsi="Arial" w:cs="Arial"/>
        </w:rPr>
      </w:pPr>
      <w:r w:rsidRPr="004D72EB">
        <w:rPr>
          <w:rFonts w:ascii="Arial" w:eastAsia="Times New Roman" w:hAnsi="Arial" w:cs="Arial"/>
          <w:noProof/>
          <w:lang w:val="en-IN" w:eastAsia="en-IN"/>
        </w:rPr>
        <w:drawing>
          <wp:inline distT="0" distB="0" distL="0" distR="0">
            <wp:extent cx="3113256" cy="134327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165" cy="134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45" w:rsidRPr="004D72EB" w:rsidRDefault="00381C80" w:rsidP="003D2445">
      <w:pPr>
        <w:jc w:val="center"/>
        <w:rPr>
          <w:rFonts w:ascii="Arial" w:eastAsia="Times New Roman" w:hAnsi="Arial" w:cs="Arial"/>
        </w:rPr>
      </w:pPr>
      <w:r w:rsidRPr="004D72EB">
        <w:rPr>
          <w:rFonts w:ascii="Arial" w:eastAsia="Times New Roman" w:hAnsi="Arial" w:cs="Arial"/>
        </w:rPr>
        <w:t>Figure 1</w:t>
      </w:r>
      <w:r w:rsidR="004D72EB">
        <w:rPr>
          <w:rFonts w:ascii="Arial" w:eastAsia="Times New Roman" w:hAnsi="Arial" w:cs="Arial"/>
        </w:rPr>
        <w:t xml:space="preserve">. </w:t>
      </w:r>
      <w:proofErr w:type="spellStart"/>
      <w:r w:rsidR="004D72EB">
        <w:rPr>
          <w:rFonts w:ascii="Arial" w:eastAsia="Times New Roman" w:hAnsi="Arial" w:cs="Arial"/>
        </w:rPr>
        <w:t>Lawesson</w:t>
      </w:r>
      <w:proofErr w:type="spellEnd"/>
      <w:r w:rsidR="003D2445" w:rsidRPr="004D72EB">
        <w:rPr>
          <w:rFonts w:ascii="Arial" w:eastAsia="Times New Roman" w:hAnsi="Arial" w:cs="Arial"/>
        </w:rPr>
        <w:t xml:space="preserve"> Reagent</w:t>
      </w:r>
    </w:p>
    <w:p w:rsidR="00046771" w:rsidRPr="004D72EB" w:rsidRDefault="00046771">
      <w:pPr>
        <w:rPr>
          <w:rFonts w:ascii="Arial" w:hAnsi="Arial" w:cs="Arial"/>
        </w:rPr>
      </w:pPr>
    </w:p>
    <w:sectPr w:rsidR="00046771" w:rsidRPr="004D72EB" w:rsidSect="0004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3D2445"/>
    <w:rsid w:val="00046771"/>
    <w:rsid w:val="00381C80"/>
    <w:rsid w:val="003D2445"/>
    <w:rsid w:val="004D72EB"/>
    <w:rsid w:val="00502029"/>
    <w:rsid w:val="00E2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iisu</cp:lastModifiedBy>
  <cp:revision>2</cp:revision>
  <dcterms:created xsi:type="dcterms:W3CDTF">2019-01-22T03:17:00Z</dcterms:created>
  <dcterms:modified xsi:type="dcterms:W3CDTF">2019-01-22T03:17:00Z</dcterms:modified>
</cp:coreProperties>
</file>