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599" w:rsidRDefault="00AD0BBC" w:rsidP="00B8759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>Review paper</w:t>
      </w:r>
    </w:p>
    <w:p w:rsidR="00AD0BBC" w:rsidRDefault="00DB1A4B" w:rsidP="00B87599">
      <w:pPr>
        <w:spacing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Use of </w:t>
      </w:r>
      <w:r w:rsidR="00AD0BBC">
        <w:rPr>
          <w:rFonts w:ascii="Arial" w:hAnsi="Arial" w:cs="Arial"/>
          <w:sz w:val="32"/>
          <w:szCs w:val="32"/>
        </w:rPr>
        <w:t>N</w:t>
      </w:r>
      <w:r>
        <w:rPr>
          <w:rFonts w:ascii="Arial" w:hAnsi="Arial" w:cs="Arial"/>
          <w:sz w:val="32"/>
          <w:szCs w:val="32"/>
        </w:rPr>
        <w:t xml:space="preserve">ew Indicator for the </w:t>
      </w:r>
      <w:r w:rsidR="000A3B78">
        <w:rPr>
          <w:rFonts w:ascii="Arial" w:hAnsi="Arial" w:cs="Arial"/>
          <w:sz w:val="32"/>
          <w:szCs w:val="32"/>
        </w:rPr>
        <w:t xml:space="preserve">Determination of Calcium and </w:t>
      </w:r>
      <w:r w:rsidR="00B87599">
        <w:rPr>
          <w:rFonts w:ascii="Arial" w:hAnsi="Arial" w:cs="Arial"/>
          <w:sz w:val="32"/>
          <w:szCs w:val="32"/>
        </w:rPr>
        <w:t xml:space="preserve">      </w:t>
      </w:r>
      <w:r w:rsidR="000A3B78">
        <w:rPr>
          <w:rFonts w:ascii="Arial" w:hAnsi="Arial" w:cs="Arial"/>
          <w:sz w:val="32"/>
          <w:szCs w:val="32"/>
        </w:rPr>
        <w:t>Ma</w:t>
      </w:r>
      <w:r w:rsidR="00AD0BBC">
        <w:rPr>
          <w:rFonts w:ascii="Arial" w:hAnsi="Arial" w:cs="Arial"/>
          <w:sz w:val="32"/>
          <w:szCs w:val="32"/>
        </w:rPr>
        <w:t xml:space="preserve">gnesium </w:t>
      </w:r>
      <w:r w:rsidR="000A3B78">
        <w:rPr>
          <w:rFonts w:ascii="Arial" w:hAnsi="Arial" w:cs="Arial"/>
          <w:sz w:val="32"/>
          <w:szCs w:val="32"/>
        </w:rPr>
        <w:t>in W</w:t>
      </w:r>
      <w:r>
        <w:rPr>
          <w:rFonts w:ascii="Arial" w:hAnsi="Arial" w:cs="Arial"/>
          <w:sz w:val="32"/>
          <w:szCs w:val="32"/>
        </w:rPr>
        <w:t>ater by</w:t>
      </w:r>
      <w:r w:rsidR="000A3B78">
        <w:rPr>
          <w:rFonts w:ascii="Arial" w:hAnsi="Arial" w:cs="Arial"/>
          <w:sz w:val="32"/>
          <w:szCs w:val="32"/>
        </w:rPr>
        <w:t xml:space="preserve"> Complexometric</w:t>
      </w:r>
      <w:r w:rsidR="00AD0BBC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</w:rPr>
        <w:t>EDTA Titration</w:t>
      </w:r>
    </w:p>
    <w:p w:rsidR="007554A3" w:rsidRDefault="007554A3" w:rsidP="007554A3">
      <w:pPr>
        <w:spacing w:line="240" w:lineRule="auto"/>
        <w:jc w:val="center"/>
        <w:rPr>
          <w:rFonts w:ascii="Arial" w:hAnsi="Arial" w:cs="Arial"/>
          <w:sz w:val="28"/>
          <w:szCs w:val="28"/>
          <w:u w:val="single"/>
        </w:rPr>
      </w:pPr>
      <w:r w:rsidRPr="00B87599">
        <w:rPr>
          <w:rFonts w:ascii="Arial" w:hAnsi="Arial" w:cs="Arial"/>
          <w:sz w:val="28"/>
          <w:szCs w:val="28"/>
          <w:u w:val="single"/>
        </w:rPr>
        <w:t xml:space="preserve">Aruna </w:t>
      </w:r>
      <w:r>
        <w:rPr>
          <w:rFonts w:ascii="Arial" w:hAnsi="Arial" w:cs="Arial"/>
          <w:sz w:val="28"/>
          <w:szCs w:val="28"/>
          <w:u w:val="single"/>
        </w:rPr>
        <w:t xml:space="preserve">Kumari </w:t>
      </w:r>
      <w:r w:rsidRPr="00B87599">
        <w:rPr>
          <w:rFonts w:ascii="Arial" w:hAnsi="Arial" w:cs="Arial"/>
          <w:sz w:val="28"/>
          <w:szCs w:val="28"/>
          <w:u w:val="single"/>
        </w:rPr>
        <w:t>Sharma</w:t>
      </w:r>
    </w:p>
    <w:p w:rsidR="00B87599" w:rsidRDefault="00B417E2" w:rsidP="007554A3">
      <w:pPr>
        <w:spacing w:line="240" w:lineRule="auto"/>
        <w:rPr>
          <w:rFonts w:ascii="Arial" w:hAnsi="Arial" w:cs="Arial"/>
          <w:sz w:val="22"/>
          <w:szCs w:val="22"/>
        </w:rPr>
      </w:pPr>
      <w:r w:rsidRPr="00EB198C">
        <w:rPr>
          <w:rFonts w:ascii="Arial" w:hAnsi="Arial" w:cs="Arial"/>
          <w:i/>
          <w:sz w:val="22"/>
          <w:szCs w:val="22"/>
        </w:rPr>
        <w:t xml:space="preserve">Department of </w:t>
      </w:r>
      <w:r w:rsidR="007554A3" w:rsidRPr="00EB198C">
        <w:rPr>
          <w:rFonts w:ascii="Arial" w:hAnsi="Arial" w:cs="Arial"/>
          <w:i/>
          <w:sz w:val="22"/>
          <w:szCs w:val="22"/>
        </w:rPr>
        <w:t>Chemistry</w:t>
      </w:r>
      <w:r w:rsidR="00EB198C" w:rsidRPr="00EB198C">
        <w:rPr>
          <w:rFonts w:ascii="Arial" w:hAnsi="Arial" w:cs="Arial"/>
          <w:i/>
          <w:sz w:val="22"/>
          <w:szCs w:val="22"/>
        </w:rPr>
        <w:t>, IIS</w:t>
      </w:r>
      <w:r w:rsidR="007554A3" w:rsidRPr="00EB198C">
        <w:rPr>
          <w:rFonts w:ascii="Arial" w:hAnsi="Arial" w:cs="Arial"/>
          <w:i/>
          <w:sz w:val="22"/>
          <w:szCs w:val="22"/>
        </w:rPr>
        <w:t>(deemed to be University)</w:t>
      </w:r>
      <w:r w:rsidR="00B87599" w:rsidRPr="00EB198C">
        <w:rPr>
          <w:rFonts w:ascii="Arial" w:hAnsi="Arial" w:cs="Arial"/>
          <w:i/>
          <w:sz w:val="22"/>
          <w:szCs w:val="22"/>
        </w:rPr>
        <w:t xml:space="preserve">, </w:t>
      </w:r>
      <w:r w:rsidR="007554A3" w:rsidRPr="00EB198C">
        <w:rPr>
          <w:rFonts w:ascii="Arial" w:hAnsi="Arial" w:cs="Arial"/>
          <w:i/>
          <w:sz w:val="22"/>
          <w:szCs w:val="22"/>
        </w:rPr>
        <w:t xml:space="preserve">Mansarovar, Jaipur </w:t>
      </w:r>
      <w:r w:rsidR="00EB198C" w:rsidRPr="00EB198C">
        <w:rPr>
          <w:rFonts w:ascii="Arial" w:hAnsi="Arial" w:cs="Arial"/>
          <w:i/>
          <w:sz w:val="22"/>
          <w:szCs w:val="22"/>
        </w:rPr>
        <w:t>302020(India)</w:t>
      </w:r>
    </w:p>
    <w:p w:rsidR="00EB198C" w:rsidRPr="00EB198C" w:rsidRDefault="00EB198C" w:rsidP="007554A3">
      <w:pPr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</w:t>
      </w:r>
      <w:r w:rsidRPr="00D619C4">
        <w:rPr>
          <w:rFonts w:ascii="Arial" w:hAnsi="Arial" w:cs="Arial"/>
          <w:i/>
          <w:sz w:val="22"/>
          <w:szCs w:val="22"/>
        </w:rPr>
        <w:t>(arunakumarisharma24849@iisuniv.ac.in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i/>
          <w:sz w:val="22"/>
          <w:szCs w:val="22"/>
        </w:rPr>
        <w:t xml:space="preserve">           </w:t>
      </w:r>
    </w:p>
    <w:p w:rsidR="00DB1A4B" w:rsidRPr="001120B9" w:rsidRDefault="00B417E2" w:rsidP="00D619C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 this review, I am investigating the work of Dr. D.P.S.Rathore</w:t>
      </w:r>
      <w:r w:rsidR="006351B8">
        <w:rPr>
          <w:rFonts w:ascii="Arial" w:hAnsi="Arial" w:cs="Arial"/>
          <w:sz w:val="24"/>
          <w:szCs w:val="24"/>
        </w:rPr>
        <w:t xml:space="preserve"> </w:t>
      </w:r>
      <w:r w:rsidR="006351B8">
        <w:rPr>
          <w:rFonts w:ascii="Arial" w:hAnsi="Arial" w:cs="Arial"/>
          <w:i/>
          <w:sz w:val="24"/>
          <w:szCs w:val="24"/>
        </w:rPr>
        <w:t xml:space="preserve">et al. </w:t>
      </w:r>
      <w:r w:rsidR="006351B8">
        <w:rPr>
          <w:rFonts w:ascii="Arial" w:hAnsi="Arial" w:cs="Arial"/>
          <w:sz w:val="24"/>
          <w:szCs w:val="24"/>
        </w:rPr>
        <w:t>He used the</w:t>
      </w:r>
      <w:r>
        <w:rPr>
          <w:rFonts w:ascii="Arial" w:hAnsi="Arial" w:cs="Arial"/>
          <w:sz w:val="24"/>
          <w:szCs w:val="24"/>
        </w:rPr>
        <w:t xml:space="preserve"> 2-[4-phenylthioacetic acid)azo]-1,8-dihydroxynaphthalene -3,6-disulphonic acid </w:t>
      </w:r>
      <w:r w:rsidR="006351B8">
        <w:rPr>
          <w:rFonts w:ascii="Arial" w:hAnsi="Arial" w:cs="Arial"/>
          <w:sz w:val="24"/>
          <w:szCs w:val="24"/>
        </w:rPr>
        <w:t xml:space="preserve">(PTAADNDA),an azo dye, </w:t>
      </w:r>
      <w:r>
        <w:rPr>
          <w:rFonts w:ascii="Arial" w:hAnsi="Arial" w:cs="Arial"/>
          <w:sz w:val="24"/>
          <w:szCs w:val="24"/>
        </w:rPr>
        <w:t xml:space="preserve">for the titrimetric determination of both calcium and total calcium plus magnesium using disodium EDTA as titrant. </w:t>
      </w:r>
      <w:r w:rsidR="001D7AB2">
        <w:rPr>
          <w:rFonts w:ascii="Arial" w:hAnsi="Arial" w:cs="Arial"/>
          <w:sz w:val="24"/>
          <w:szCs w:val="24"/>
        </w:rPr>
        <w:t>Water with high concentration of minerals is hard water .But water with very high degrees of hardness is harmful to health.</w:t>
      </w:r>
      <w:r w:rsidR="00DB1A4B">
        <w:rPr>
          <w:rFonts w:ascii="Arial" w:hAnsi="Arial" w:cs="Arial"/>
          <w:sz w:val="24"/>
          <w:szCs w:val="24"/>
        </w:rPr>
        <w:t xml:space="preserve"> The result of </w:t>
      </w:r>
      <w:r w:rsidR="00B87599">
        <w:rPr>
          <w:rFonts w:ascii="Arial" w:hAnsi="Arial" w:cs="Arial"/>
          <w:sz w:val="24"/>
          <w:szCs w:val="24"/>
        </w:rPr>
        <w:t xml:space="preserve">the </w:t>
      </w:r>
      <w:r w:rsidR="00DB1A4B">
        <w:rPr>
          <w:rFonts w:ascii="Arial" w:hAnsi="Arial" w:cs="Arial"/>
          <w:sz w:val="24"/>
          <w:szCs w:val="24"/>
        </w:rPr>
        <w:t>sample of tap water show that t</w:t>
      </w:r>
      <w:r w:rsidR="00EF595D">
        <w:rPr>
          <w:rFonts w:ascii="Arial" w:hAnsi="Arial" w:cs="Arial"/>
          <w:sz w:val="24"/>
          <w:szCs w:val="24"/>
        </w:rPr>
        <w:t xml:space="preserve">his method is a variant of the conventional complexometric method. This method gives the sharp end-points compare to complexometric </w:t>
      </w:r>
      <w:r w:rsidR="00EC53CF">
        <w:rPr>
          <w:rFonts w:ascii="Arial" w:hAnsi="Arial" w:cs="Arial"/>
          <w:sz w:val="24"/>
          <w:szCs w:val="24"/>
        </w:rPr>
        <w:t xml:space="preserve">titration. Unlike </w:t>
      </w:r>
      <w:r w:rsidR="00DB1A4B">
        <w:rPr>
          <w:rFonts w:ascii="Arial" w:hAnsi="Arial" w:cs="Arial"/>
          <w:sz w:val="24"/>
          <w:szCs w:val="24"/>
        </w:rPr>
        <w:t>Erichrome</w:t>
      </w:r>
      <w:r w:rsidR="00EC53CF">
        <w:rPr>
          <w:rFonts w:ascii="Arial" w:hAnsi="Arial" w:cs="Arial"/>
          <w:sz w:val="24"/>
          <w:szCs w:val="24"/>
        </w:rPr>
        <w:t xml:space="preserve"> Black T </w:t>
      </w:r>
      <w:r w:rsidR="00B2122F">
        <w:rPr>
          <w:rFonts w:ascii="Arial" w:hAnsi="Arial" w:cs="Arial"/>
          <w:sz w:val="24"/>
          <w:szCs w:val="24"/>
        </w:rPr>
        <w:t xml:space="preserve">[1, 2] </w:t>
      </w:r>
      <w:r w:rsidR="00EC53CF">
        <w:rPr>
          <w:rFonts w:ascii="Arial" w:hAnsi="Arial" w:cs="Arial"/>
          <w:sz w:val="24"/>
          <w:szCs w:val="24"/>
        </w:rPr>
        <w:t xml:space="preserve">[PTAADNDA] has an advantage that its </w:t>
      </w:r>
      <w:r w:rsidR="00B2122F">
        <w:rPr>
          <w:rFonts w:ascii="Arial" w:hAnsi="Arial" w:cs="Arial"/>
          <w:sz w:val="24"/>
          <w:szCs w:val="24"/>
        </w:rPr>
        <w:t xml:space="preserve">aqueous solution is highly stable. In this </w:t>
      </w:r>
      <w:r w:rsidR="00DB1A4B">
        <w:rPr>
          <w:rFonts w:ascii="Arial" w:hAnsi="Arial" w:cs="Arial"/>
          <w:sz w:val="24"/>
          <w:szCs w:val="24"/>
        </w:rPr>
        <w:t>titration, the</w:t>
      </w:r>
      <w:r w:rsidR="00B2122F">
        <w:rPr>
          <w:rFonts w:ascii="Arial" w:hAnsi="Arial" w:cs="Arial"/>
          <w:sz w:val="24"/>
          <w:szCs w:val="24"/>
        </w:rPr>
        <w:t xml:space="preserve"> azo dye</w:t>
      </w:r>
      <w:r w:rsidR="00DB1A4B">
        <w:rPr>
          <w:rFonts w:ascii="Arial" w:hAnsi="Arial" w:cs="Arial"/>
          <w:sz w:val="24"/>
          <w:szCs w:val="24"/>
        </w:rPr>
        <w:t>, PTAADNDA, seems</w:t>
      </w:r>
      <w:r w:rsidR="00B2122F">
        <w:rPr>
          <w:rFonts w:ascii="Arial" w:hAnsi="Arial" w:cs="Arial"/>
          <w:sz w:val="24"/>
          <w:szCs w:val="24"/>
        </w:rPr>
        <w:t xml:space="preserve"> to possess enough advantages over other indicator .</w:t>
      </w:r>
      <w:r w:rsidR="00156FAA">
        <w:rPr>
          <w:rFonts w:ascii="Arial" w:hAnsi="Arial" w:cs="Arial"/>
          <w:sz w:val="24"/>
          <w:szCs w:val="24"/>
        </w:rPr>
        <w:t>The PTAADNDA exhibits an intermediate colour change</w:t>
      </w:r>
      <w:r w:rsidR="006351B8">
        <w:rPr>
          <w:rFonts w:ascii="Arial" w:hAnsi="Arial" w:cs="Arial"/>
          <w:sz w:val="24"/>
          <w:szCs w:val="24"/>
        </w:rPr>
        <w:t xml:space="preserve"> due</w:t>
      </w:r>
      <w:r w:rsidR="00156FAA">
        <w:rPr>
          <w:rFonts w:ascii="Arial" w:hAnsi="Arial" w:cs="Arial"/>
          <w:sz w:val="24"/>
          <w:szCs w:val="24"/>
        </w:rPr>
        <w:t xml:space="preserve"> to drop before the real end </w:t>
      </w:r>
      <w:r w:rsidR="00953139">
        <w:rPr>
          <w:rFonts w:ascii="Arial" w:hAnsi="Arial" w:cs="Arial"/>
          <w:sz w:val="24"/>
          <w:szCs w:val="24"/>
        </w:rPr>
        <w:t>point, which is probably due to high pK</w:t>
      </w:r>
      <w:r w:rsidR="00953139">
        <w:rPr>
          <w:rFonts w:ascii="Arial" w:hAnsi="Arial" w:cs="Arial"/>
          <w:sz w:val="24"/>
          <w:szCs w:val="24"/>
          <w:vertAlign w:val="subscript"/>
        </w:rPr>
        <w:t>2</w:t>
      </w:r>
      <w:r w:rsidR="00953139">
        <w:rPr>
          <w:rFonts w:ascii="Arial" w:hAnsi="Arial" w:cs="Arial"/>
          <w:sz w:val="24"/>
          <w:szCs w:val="24"/>
        </w:rPr>
        <w:t xml:space="preserve"> </w:t>
      </w:r>
      <w:r w:rsidR="00DB1A4B">
        <w:rPr>
          <w:rFonts w:ascii="Arial" w:hAnsi="Arial" w:cs="Arial"/>
          <w:sz w:val="24"/>
          <w:szCs w:val="24"/>
        </w:rPr>
        <w:t>value (</w:t>
      </w:r>
      <w:r w:rsidR="00953139">
        <w:rPr>
          <w:rFonts w:ascii="Arial" w:hAnsi="Arial" w:cs="Arial"/>
          <w:sz w:val="24"/>
          <w:szCs w:val="24"/>
        </w:rPr>
        <w:t>pK</w:t>
      </w:r>
      <w:r w:rsidR="00953139">
        <w:rPr>
          <w:rFonts w:ascii="Arial" w:hAnsi="Arial" w:cs="Arial"/>
          <w:sz w:val="24"/>
          <w:szCs w:val="24"/>
          <w:vertAlign w:val="subscript"/>
        </w:rPr>
        <w:t>2</w:t>
      </w:r>
      <w:r w:rsidR="00953139">
        <w:rPr>
          <w:rFonts w:ascii="Arial" w:hAnsi="Arial" w:cs="Arial"/>
          <w:sz w:val="24"/>
          <w:szCs w:val="24"/>
        </w:rPr>
        <w:t>=12.75</w:t>
      </w:r>
      <w:r w:rsidR="00DB1A4B">
        <w:rPr>
          <w:rFonts w:ascii="Arial" w:hAnsi="Arial" w:cs="Arial"/>
          <w:sz w:val="24"/>
          <w:szCs w:val="24"/>
        </w:rPr>
        <w:t>) and</w:t>
      </w:r>
      <w:r w:rsidR="00953139">
        <w:rPr>
          <w:rFonts w:ascii="Arial" w:hAnsi="Arial" w:cs="Arial"/>
          <w:sz w:val="24"/>
          <w:szCs w:val="24"/>
        </w:rPr>
        <w:t xml:space="preserve"> gives sharp colour</w:t>
      </w:r>
      <w:r w:rsidR="00875F56">
        <w:rPr>
          <w:rFonts w:ascii="Arial" w:hAnsi="Arial" w:cs="Arial"/>
          <w:sz w:val="24"/>
          <w:szCs w:val="24"/>
        </w:rPr>
        <w:t xml:space="preserve"> and describe</w:t>
      </w:r>
      <w:r w:rsidR="0065341F">
        <w:rPr>
          <w:rFonts w:ascii="Arial" w:hAnsi="Arial" w:cs="Arial"/>
          <w:sz w:val="24"/>
          <w:szCs w:val="24"/>
        </w:rPr>
        <w:t>d</w:t>
      </w:r>
      <w:r w:rsidR="00875F56">
        <w:rPr>
          <w:rFonts w:ascii="Arial" w:hAnsi="Arial" w:cs="Arial"/>
          <w:sz w:val="24"/>
          <w:szCs w:val="24"/>
        </w:rPr>
        <w:t xml:space="preserve"> the stability of Ca and Mg complex with PTAADNDA</w:t>
      </w:r>
      <w:r w:rsidR="00482430">
        <w:rPr>
          <w:rFonts w:ascii="Arial" w:hAnsi="Arial" w:cs="Arial"/>
          <w:sz w:val="24"/>
          <w:szCs w:val="24"/>
        </w:rPr>
        <w:t xml:space="preserve"> at different pH values</w:t>
      </w:r>
      <w:r w:rsidR="00875F56">
        <w:rPr>
          <w:rFonts w:ascii="Arial" w:hAnsi="Arial" w:cs="Arial"/>
          <w:sz w:val="24"/>
          <w:szCs w:val="24"/>
        </w:rPr>
        <w:t xml:space="preserve"> </w:t>
      </w:r>
      <w:r w:rsidR="00953139">
        <w:rPr>
          <w:rFonts w:ascii="Arial" w:hAnsi="Arial" w:cs="Arial"/>
          <w:sz w:val="24"/>
          <w:szCs w:val="24"/>
        </w:rPr>
        <w:t xml:space="preserve">. </w:t>
      </w:r>
      <w:r w:rsidR="00DB1A4B">
        <w:rPr>
          <w:rFonts w:ascii="Arial" w:hAnsi="Arial" w:cs="Arial"/>
          <w:sz w:val="24"/>
          <w:szCs w:val="24"/>
        </w:rPr>
        <w:t xml:space="preserve">In latest </w:t>
      </w:r>
      <w:r w:rsidR="008C5CAB">
        <w:rPr>
          <w:rFonts w:ascii="Arial" w:hAnsi="Arial" w:cs="Arial"/>
          <w:sz w:val="24"/>
          <w:szCs w:val="24"/>
        </w:rPr>
        <w:t xml:space="preserve">research </w:t>
      </w:r>
      <w:r w:rsidR="00CD0F8E">
        <w:rPr>
          <w:rFonts w:ascii="Arial" w:hAnsi="Arial" w:cs="Arial"/>
          <w:sz w:val="24"/>
          <w:szCs w:val="24"/>
        </w:rPr>
        <w:t>article, complexometric</w:t>
      </w:r>
      <w:r w:rsidR="00547CB4">
        <w:rPr>
          <w:rFonts w:ascii="Arial" w:hAnsi="Arial" w:cs="Arial"/>
          <w:sz w:val="24"/>
          <w:szCs w:val="24"/>
        </w:rPr>
        <w:t xml:space="preserve"> titration</w:t>
      </w:r>
      <w:r w:rsidR="00DB1A4B">
        <w:rPr>
          <w:rFonts w:ascii="Arial" w:hAnsi="Arial" w:cs="Arial"/>
          <w:sz w:val="24"/>
          <w:szCs w:val="24"/>
        </w:rPr>
        <w:t xml:space="preserve"> is used for the estimation of hardness of water </w:t>
      </w:r>
      <w:r w:rsidR="006351B8">
        <w:rPr>
          <w:rFonts w:ascii="Arial" w:hAnsi="Arial" w:cs="Arial"/>
          <w:sz w:val="24"/>
          <w:szCs w:val="24"/>
        </w:rPr>
        <w:t>and its potential advantages are evaluated.</w:t>
      </w:r>
    </w:p>
    <w:p w:rsidR="00AD0BBC" w:rsidRDefault="00AD0BBC" w:rsidP="00D619C4">
      <w:pPr>
        <w:spacing w:line="240" w:lineRule="auto"/>
        <w:jc w:val="both"/>
        <w:rPr>
          <w:rFonts w:ascii="Arial" w:hAnsi="Arial" w:cs="Arial"/>
          <w:sz w:val="32"/>
          <w:szCs w:val="32"/>
        </w:rPr>
      </w:pPr>
    </w:p>
    <w:p w:rsidR="00B04EB2" w:rsidRDefault="00B04EB2" w:rsidP="00D619C4">
      <w:pPr>
        <w:jc w:val="both"/>
      </w:pPr>
    </w:p>
    <w:sectPr w:rsidR="00B04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BBC"/>
    <w:rsid w:val="000A3B78"/>
    <w:rsid w:val="00156FAA"/>
    <w:rsid w:val="001D7AB2"/>
    <w:rsid w:val="001E781E"/>
    <w:rsid w:val="002956F0"/>
    <w:rsid w:val="00297E34"/>
    <w:rsid w:val="00482430"/>
    <w:rsid w:val="00547CB4"/>
    <w:rsid w:val="006351B8"/>
    <w:rsid w:val="0065341F"/>
    <w:rsid w:val="007554A3"/>
    <w:rsid w:val="007C383E"/>
    <w:rsid w:val="00875F56"/>
    <w:rsid w:val="008C5CAB"/>
    <w:rsid w:val="00953139"/>
    <w:rsid w:val="00AD0BBC"/>
    <w:rsid w:val="00B04EB2"/>
    <w:rsid w:val="00B2122F"/>
    <w:rsid w:val="00B417E2"/>
    <w:rsid w:val="00B87599"/>
    <w:rsid w:val="00BB2DD9"/>
    <w:rsid w:val="00CD0F8E"/>
    <w:rsid w:val="00D619C4"/>
    <w:rsid w:val="00DB1A4B"/>
    <w:rsid w:val="00EB198C"/>
    <w:rsid w:val="00EC53CF"/>
    <w:rsid w:val="00EF595D"/>
    <w:rsid w:val="00F4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B8E5C1-8ACD-46F3-81E5-5EA87D630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0BBC"/>
    <w:pPr>
      <w:spacing w:after="200" w:line="288" w:lineRule="auto"/>
    </w:pPr>
    <w:rPr>
      <w:rFonts w:eastAsiaTheme="minorEastAsia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2019-01-23T11:06:00Z</dcterms:created>
  <dcterms:modified xsi:type="dcterms:W3CDTF">2019-01-23T11:06:00Z</dcterms:modified>
</cp:coreProperties>
</file>