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D7" w:rsidRDefault="006B5CE9" w:rsidP="00CE14AA">
      <w:pPr>
        <w:spacing w:after="0" w:line="240" w:lineRule="auto"/>
        <w:jc w:val="center"/>
        <w:rPr>
          <w:rFonts w:ascii="Arial" w:hAnsi="Arial" w:cs="Arial"/>
          <w:sz w:val="32"/>
          <w:szCs w:val="32"/>
        </w:rPr>
      </w:pPr>
      <w:r w:rsidRPr="00CE14AA">
        <w:rPr>
          <w:rFonts w:ascii="Arial" w:hAnsi="Arial" w:cs="Arial"/>
          <w:sz w:val="32"/>
          <w:szCs w:val="32"/>
        </w:rPr>
        <w:t>Computational studies of Dipeptidyl Peptidase IV inhibitors</w:t>
      </w:r>
    </w:p>
    <w:p w:rsidR="00CE14AA" w:rsidRDefault="00CE14AA" w:rsidP="00CE14AA">
      <w:pPr>
        <w:spacing w:after="0" w:line="240" w:lineRule="auto"/>
        <w:jc w:val="center"/>
        <w:rPr>
          <w:rFonts w:ascii="Arial" w:hAnsi="Arial" w:cs="Arial"/>
          <w:sz w:val="28"/>
          <w:szCs w:val="28"/>
        </w:rPr>
      </w:pPr>
      <w:r w:rsidRPr="00CE14AA">
        <w:rPr>
          <w:rFonts w:ascii="Arial" w:hAnsi="Arial" w:cs="Arial"/>
          <w:sz w:val="28"/>
          <w:szCs w:val="28"/>
          <w:u w:val="single"/>
        </w:rPr>
        <w:t>Tejas B. Patel</w:t>
      </w:r>
      <w:r>
        <w:rPr>
          <w:rFonts w:ascii="Arial" w:hAnsi="Arial" w:cs="Arial"/>
          <w:sz w:val="28"/>
          <w:szCs w:val="28"/>
          <w:vertAlign w:val="superscript"/>
        </w:rPr>
        <w:t>*</w:t>
      </w:r>
      <w:r>
        <w:rPr>
          <w:rFonts w:ascii="Arial" w:hAnsi="Arial" w:cs="Arial"/>
          <w:sz w:val="28"/>
          <w:szCs w:val="28"/>
        </w:rPr>
        <w:t xml:space="preserve">, </w:t>
      </w:r>
      <w:proofErr w:type="spellStart"/>
      <w:r>
        <w:rPr>
          <w:rFonts w:ascii="Arial" w:hAnsi="Arial" w:cs="Arial"/>
          <w:sz w:val="28"/>
          <w:szCs w:val="28"/>
        </w:rPr>
        <w:t>Jagat</w:t>
      </w:r>
      <w:proofErr w:type="spellEnd"/>
      <w:r>
        <w:rPr>
          <w:rFonts w:ascii="Arial" w:hAnsi="Arial" w:cs="Arial"/>
          <w:sz w:val="28"/>
          <w:szCs w:val="28"/>
        </w:rPr>
        <w:t xml:space="preserve"> R. Upadhyay, B. N. Suhagia</w:t>
      </w:r>
    </w:p>
    <w:p w:rsidR="00CE14AA" w:rsidRDefault="00CE14AA" w:rsidP="00CE14AA">
      <w:pPr>
        <w:spacing w:after="0" w:line="240" w:lineRule="auto"/>
        <w:jc w:val="center"/>
        <w:rPr>
          <w:rFonts w:ascii="Arial" w:hAnsi="Arial" w:cs="Arial"/>
          <w:sz w:val="24"/>
          <w:szCs w:val="24"/>
        </w:rPr>
      </w:pPr>
      <w:r>
        <w:rPr>
          <w:rFonts w:ascii="Arial" w:hAnsi="Arial" w:cs="Arial"/>
          <w:sz w:val="24"/>
          <w:szCs w:val="24"/>
        </w:rPr>
        <w:t>Faculty of Pharmacy, Dharmsinh Desai University, Nadiad-387001, Gujarat</w:t>
      </w:r>
    </w:p>
    <w:p w:rsidR="00CE14AA" w:rsidRPr="00CE14AA" w:rsidRDefault="00CE14AA" w:rsidP="00CE14AA">
      <w:pPr>
        <w:spacing w:after="0" w:line="240" w:lineRule="auto"/>
        <w:jc w:val="center"/>
        <w:rPr>
          <w:rFonts w:ascii="Arial" w:hAnsi="Arial" w:cs="Arial"/>
        </w:rPr>
      </w:pPr>
      <w:r>
        <w:rPr>
          <w:rFonts w:ascii="Arial" w:hAnsi="Arial" w:cs="Arial"/>
        </w:rPr>
        <w:t>tejaspatel.ph@ddu.ac.in</w:t>
      </w:r>
    </w:p>
    <w:p w:rsidR="004B4239" w:rsidRPr="004B4239" w:rsidRDefault="004B4239" w:rsidP="004B4239">
      <w:pPr>
        <w:jc w:val="center"/>
        <w:rPr>
          <w:rFonts w:ascii="Arial" w:hAnsi="Arial" w:cs="Arial"/>
          <w:sz w:val="24"/>
          <w:szCs w:val="24"/>
        </w:rPr>
      </w:pPr>
    </w:p>
    <w:p w:rsidR="006B5CE9" w:rsidRDefault="006B5CE9" w:rsidP="004B4239">
      <w:pPr>
        <w:spacing w:after="0" w:line="240" w:lineRule="auto"/>
        <w:jc w:val="both"/>
        <w:rPr>
          <w:rFonts w:ascii="Arial" w:hAnsi="Arial" w:cs="Arial"/>
          <w:sz w:val="24"/>
          <w:szCs w:val="24"/>
        </w:rPr>
      </w:pPr>
      <w:r w:rsidRPr="004B4239">
        <w:rPr>
          <w:rFonts w:ascii="Arial" w:hAnsi="Arial" w:cs="Arial"/>
          <w:sz w:val="24"/>
          <w:szCs w:val="24"/>
        </w:rPr>
        <w:t>Diabetes is an illness characterized by abnormally high level of glucose in blood. Type 2 diabetes (T2D) is one of the major concerns for the health of individual around the world in 21</w:t>
      </w:r>
      <w:r w:rsidRPr="004B4239">
        <w:rPr>
          <w:rFonts w:ascii="Arial" w:hAnsi="Arial" w:cs="Arial"/>
          <w:sz w:val="24"/>
          <w:szCs w:val="24"/>
          <w:vertAlign w:val="superscript"/>
        </w:rPr>
        <w:t>st</w:t>
      </w:r>
      <w:r w:rsidRPr="004B4239">
        <w:rPr>
          <w:rFonts w:ascii="Arial" w:hAnsi="Arial" w:cs="Arial"/>
          <w:sz w:val="24"/>
          <w:szCs w:val="24"/>
        </w:rPr>
        <w:t xml:space="preserve"> century as the prevalence of diabetes is increased apace. Dipeptidyl Peptidase IV (DPP IV) inhibitors are relatively ne</w:t>
      </w:r>
      <w:r w:rsidR="00CE79CB" w:rsidRPr="004B4239">
        <w:rPr>
          <w:rFonts w:ascii="Arial" w:hAnsi="Arial" w:cs="Arial"/>
          <w:sz w:val="24"/>
          <w:szCs w:val="24"/>
        </w:rPr>
        <w:t>w therapy for management of T2D</w:t>
      </w:r>
      <w:r w:rsidRPr="004B4239">
        <w:rPr>
          <w:rFonts w:ascii="Arial" w:eastAsia="TimesNewRoman" w:hAnsi="Arial" w:cs="Arial"/>
          <w:sz w:val="24"/>
          <w:szCs w:val="24"/>
        </w:rPr>
        <w:t>. Inhibition of DPP-IV is an attractive new approach to the</w:t>
      </w:r>
      <w:r w:rsidR="00CE14AA">
        <w:rPr>
          <w:rFonts w:ascii="Arial" w:eastAsia="TimesNewRoman" w:hAnsi="Arial" w:cs="Arial"/>
          <w:sz w:val="24"/>
          <w:szCs w:val="24"/>
        </w:rPr>
        <w:t xml:space="preserve"> management of type 2 diabetes. </w:t>
      </w:r>
      <w:r w:rsidRPr="004B4239">
        <w:rPr>
          <w:rFonts w:ascii="Arial" w:hAnsi="Arial" w:cs="Arial"/>
          <w:sz w:val="24"/>
          <w:szCs w:val="24"/>
        </w:rPr>
        <w:t xml:space="preserve">DPP IV is a highly specific serine </w:t>
      </w:r>
      <w:proofErr w:type="spellStart"/>
      <w:r w:rsidRPr="004B4239">
        <w:rPr>
          <w:rFonts w:ascii="Arial" w:hAnsi="Arial" w:cs="Arial"/>
          <w:sz w:val="24"/>
          <w:szCs w:val="24"/>
        </w:rPr>
        <w:t>aminoprotease</w:t>
      </w:r>
      <w:proofErr w:type="spellEnd"/>
      <w:r w:rsidRPr="004B4239">
        <w:rPr>
          <w:rFonts w:ascii="Arial" w:hAnsi="Arial" w:cs="Arial"/>
          <w:sz w:val="24"/>
          <w:szCs w:val="24"/>
        </w:rPr>
        <w:t xml:space="preserve"> that prefer</w:t>
      </w:r>
      <w:r w:rsidR="00CE14AA">
        <w:rPr>
          <w:rFonts w:ascii="Arial" w:hAnsi="Arial" w:cs="Arial"/>
          <w:sz w:val="24"/>
          <w:szCs w:val="24"/>
        </w:rPr>
        <w:t xml:space="preserve">entially cleaves oligopeptides. </w:t>
      </w:r>
      <w:r w:rsidRPr="004B4239">
        <w:rPr>
          <w:rFonts w:ascii="Arial" w:hAnsi="Arial" w:cs="Arial"/>
          <w:sz w:val="24"/>
          <w:szCs w:val="24"/>
        </w:rPr>
        <w:t>It cleaves peptide from N-terminal where penultimate (P</w:t>
      </w:r>
      <w:r w:rsidRPr="004B4239">
        <w:rPr>
          <w:rFonts w:ascii="Arial" w:hAnsi="Arial" w:cs="Arial"/>
          <w:sz w:val="24"/>
          <w:szCs w:val="24"/>
          <w:vertAlign w:val="subscript"/>
        </w:rPr>
        <w:t>1</w:t>
      </w:r>
      <w:r w:rsidRPr="004B4239">
        <w:rPr>
          <w:rFonts w:ascii="Arial" w:hAnsi="Arial" w:cs="Arial"/>
          <w:sz w:val="24"/>
          <w:szCs w:val="24"/>
        </w:rPr>
        <w:t xml:space="preserve">) amino acid is either alanine or </w:t>
      </w:r>
      <w:proofErr w:type="spellStart"/>
      <w:r w:rsidRPr="004B4239">
        <w:rPr>
          <w:rFonts w:ascii="Arial" w:hAnsi="Arial" w:cs="Arial"/>
          <w:sz w:val="24"/>
          <w:szCs w:val="24"/>
        </w:rPr>
        <w:t>proline</w:t>
      </w:r>
      <w:proofErr w:type="spellEnd"/>
      <w:r w:rsidRPr="004B4239">
        <w:rPr>
          <w:rFonts w:ascii="Arial" w:hAnsi="Arial" w:cs="Arial"/>
          <w:sz w:val="24"/>
          <w:szCs w:val="24"/>
        </w:rPr>
        <w:t xml:space="preserve">. X-ray crystal structure of DPP IV is solved in naïve form and inhibitor bound form Around 85 solved crystal structures have been deposited to Protein Data Bank by different research groups </w:t>
      </w:r>
      <w:proofErr w:type="gramStart"/>
      <w:r w:rsidRPr="004B4239">
        <w:rPr>
          <w:rFonts w:ascii="Arial" w:hAnsi="Arial" w:cs="Arial"/>
          <w:sz w:val="24"/>
          <w:szCs w:val="24"/>
        </w:rPr>
        <w:t>till</w:t>
      </w:r>
      <w:proofErr w:type="gramEnd"/>
      <w:r w:rsidRPr="004B4239">
        <w:rPr>
          <w:rFonts w:ascii="Arial" w:hAnsi="Arial" w:cs="Arial"/>
          <w:sz w:val="24"/>
          <w:szCs w:val="24"/>
        </w:rPr>
        <w:t xml:space="preserve"> date.</w:t>
      </w:r>
      <w:r w:rsidR="00CE14AA">
        <w:rPr>
          <w:rFonts w:ascii="Arial" w:hAnsi="Arial" w:cs="Arial"/>
          <w:sz w:val="24"/>
          <w:szCs w:val="24"/>
        </w:rPr>
        <w:t xml:space="preserve"> </w:t>
      </w:r>
      <w:r w:rsidR="00CE79CB" w:rsidRPr="004B4239">
        <w:rPr>
          <w:rFonts w:ascii="Arial" w:hAnsi="Arial" w:cs="Arial"/>
          <w:sz w:val="24"/>
          <w:szCs w:val="24"/>
        </w:rPr>
        <w:t xml:space="preserve">To understand binding mode of DPP IV inhibitors, diverse inhibitors </w:t>
      </w:r>
      <w:proofErr w:type="gramStart"/>
      <w:r w:rsidR="00CE79CB" w:rsidRPr="004B4239">
        <w:rPr>
          <w:rFonts w:ascii="Arial" w:hAnsi="Arial" w:cs="Arial"/>
          <w:sz w:val="24"/>
          <w:szCs w:val="24"/>
        </w:rPr>
        <w:t>were docked</w:t>
      </w:r>
      <w:proofErr w:type="gramEnd"/>
      <w:r w:rsidR="00CE79CB" w:rsidRPr="004B4239">
        <w:rPr>
          <w:rFonts w:ascii="Arial" w:hAnsi="Arial" w:cs="Arial"/>
          <w:sz w:val="24"/>
          <w:szCs w:val="24"/>
        </w:rPr>
        <w:t xml:space="preserve"> into active site of DPP IV. Result of the study revealed that vildagliptin a</w:t>
      </w:r>
      <w:r w:rsidR="00CE14AA">
        <w:rPr>
          <w:rFonts w:ascii="Arial" w:hAnsi="Arial" w:cs="Arial"/>
          <w:sz w:val="24"/>
          <w:szCs w:val="24"/>
        </w:rPr>
        <w:t>nd saxagliptin bind to unprimed</w:t>
      </w:r>
      <w:r w:rsidR="00CE79CB" w:rsidRPr="004B4239">
        <w:rPr>
          <w:rFonts w:ascii="Arial" w:hAnsi="Arial" w:cs="Arial"/>
          <w:sz w:val="24"/>
          <w:szCs w:val="24"/>
        </w:rPr>
        <w:t xml:space="preserve"> S1 and S2 subsite of enzyme active site. Sitagliptin, teneligliptin, </w:t>
      </w:r>
      <w:proofErr w:type="spellStart"/>
      <w:r w:rsidR="00CE79CB" w:rsidRPr="004B4239">
        <w:rPr>
          <w:rFonts w:ascii="Arial" w:hAnsi="Arial" w:cs="Arial"/>
          <w:sz w:val="24"/>
          <w:szCs w:val="24"/>
        </w:rPr>
        <w:t>omarigliptin</w:t>
      </w:r>
      <w:proofErr w:type="spellEnd"/>
      <w:r w:rsidR="00CE79CB" w:rsidRPr="004B4239">
        <w:rPr>
          <w:rFonts w:ascii="Arial" w:hAnsi="Arial" w:cs="Arial"/>
          <w:sz w:val="24"/>
          <w:szCs w:val="24"/>
        </w:rPr>
        <w:t xml:space="preserve">, </w:t>
      </w:r>
      <w:proofErr w:type="spellStart"/>
      <w:r w:rsidR="00CE79CB" w:rsidRPr="004B4239">
        <w:rPr>
          <w:rFonts w:ascii="Arial" w:hAnsi="Arial" w:cs="Arial"/>
          <w:sz w:val="24"/>
          <w:szCs w:val="24"/>
        </w:rPr>
        <w:t>carmegliptin</w:t>
      </w:r>
      <w:proofErr w:type="spellEnd"/>
      <w:r w:rsidR="00CE79CB" w:rsidRPr="004B4239">
        <w:rPr>
          <w:rFonts w:ascii="Arial" w:hAnsi="Arial" w:cs="Arial"/>
          <w:sz w:val="24"/>
          <w:szCs w:val="24"/>
        </w:rPr>
        <w:t xml:space="preserve">, </w:t>
      </w:r>
      <w:proofErr w:type="spellStart"/>
      <w:r w:rsidR="00CE79CB" w:rsidRPr="004B4239">
        <w:rPr>
          <w:rFonts w:ascii="Arial" w:hAnsi="Arial" w:cs="Arial"/>
          <w:sz w:val="24"/>
          <w:szCs w:val="24"/>
        </w:rPr>
        <w:t>gosoglipitn</w:t>
      </w:r>
      <w:proofErr w:type="spellEnd"/>
      <w:r w:rsidR="00CE79CB" w:rsidRPr="004B4239">
        <w:rPr>
          <w:rFonts w:ascii="Arial" w:hAnsi="Arial" w:cs="Arial"/>
          <w:sz w:val="24"/>
          <w:szCs w:val="24"/>
        </w:rPr>
        <w:t xml:space="preserve"> and anagliptin binds to S</w:t>
      </w:r>
      <w:r w:rsidR="00CE79CB" w:rsidRPr="00CE14AA">
        <w:rPr>
          <w:rFonts w:ascii="Arial" w:hAnsi="Arial" w:cs="Arial"/>
          <w:sz w:val="24"/>
          <w:szCs w:val="24"/>
          <w:vertAlign w:val="subscript"/>
        </w:rPr>
        <w:t>2</w:t>
      </w:r>
      <w:r w:rsidR="00CE79CB" w:rsidRPr="004B4239">
        <w:rPr>
          <w:rFonts w:ascii="Arial" w:hAnsi="Arial" w:cs="Arial"/>
          <w:sz w:val="24"/>
          <w:szCs w:val="24"/>
        </w:rPr>
        <w:t xml:space="preserve"> extensive site in addition to S</w:t>
      </w:r>
      <w:r w:rsidR="00CE79CB" w:rsidRPr="00CE14AA">
        <w:rPr>
          <w:rFonts w:ascii="Arial" w:hAnsi="Arial" w:cs="Arial"/>
          <w:sz w:val="24"/>
          <w:szCs w:val="24"/>
          <w:vertAlign w:val="subscript"/>
        </w:rPr>
        <w:t>1</w:t>
      </w:r>
      <w:r w:rsidR="00CE79CB" w:rsidRPr="004B4239">
        <w:rPr>
          <w:rFonts w:ascii="Arial" w:hAnsi="Arial" w:cs="Arial"/>
          <w:sz w:val="24"/>
          <w:szCs w:val="24"/>
        </w:rPr>
        <w:t xml:space="preserve"> and S</w:t>
      </w:r>
      <w:r w:rsidR="00CE79CB" w:rsidRPr="00CE14AA">
        <w:rPr>
          <w:rFonts w:ascii="Arial" w:hAnsi="Arial" w:cs="Arial"/>
          <w:sz w:val="24"/>
          <w:szCs w:val="24"/>
          <w:vertAlign w:val="subscript"/>
        </w:rPr>
        <w:t>2</w:t>
      </w:r>
      <w:r w:rsidR="00CE79CB" w:rsidRPr="004B4239">
        <w:rPr>
          <w:rFonts w:ascii="Arial" w:hAnsi="Arial" w:cs="Arial"/>
          <w:sz w:val="24"/>
          <w:szCs w:val="24"/>
        </w:rPr>
        <w:t xml:space="preserve"> subsite.</w:t>
      </w:r>
      <w:r w:rsidRPr="004B4239">
        <w:rPr>
          <w:rFonts w:ascii="Arial" w:hAnsi="Arial" w:cs="Arial"/>
          <w:sz w:val="24"/>
          <w:szCs w:val="24"/>
        </w:rPr>
        <w:t xml:space="preserve"> </w:t>
      </w:r>
      <w:r w:rsidR="004B4239" w:rsidRPr="004B4239">
        <w:rPr>
          <w:rFonts w:ascii="Arial" w:hAnsi="Arial" w:cs="Arial"/>
          <w:sz w:val="24"/>
          <w:szCs w:val="24"/>
        </w:rPr>
        <w:t>A</w:t>
      </w:r>
      <w:r w:rsidR="00CE79CB" w:rsidRPr="004B4239">
        <w:rPr>
          <w:rFonts w:ascii="Arial" w:hAnsi="Arial" w:cs="Arial"/>
          <w:sz w:val="24"/>
          <w:szCs w:val="24"/>
        </w:rPr>
        <w:t>logliptin and imigliptin binds to primed S</w:t>
      </w:r>
      <w:r w:rsidR="00CE14AA">
        <w:rPr>
          <w:rFonts w:ascii="Arial" w:hAnsi="Arial" w:cs="Arial"/>
          <w:sz w:val="24"/>
          <w:szCs w:val="24"/>
        </w:rPr>
        <w:t>’</w:t>
      </w:r>
      <w:r w:rsidR="00CE14AA" w:rsidRPr="00CE14AA">
        <w:rPr>
          <w:rFonts w:ascii="Arial" w:hAnsi="Arial" w:cs="Arial"/>
          <w:sz w:val="24"/>
          <w:szCs w:val="24"/>
          <w:vertAlign w:val="subscript"/>
        </w:rPr>
        <w:t>1</w:t>
      </w:r>
      <w:r w:rsidR="00CE79CB" w:rsidRPr="004B4239">
        <w:rPr>
          <w:rFonts w:ascii="Arial" w:hAnsi="Arial" w:cs="Arial"/>
          <w:sz w:val="24"/>
          <w:szCs w:val="24"/>
        </w:rPr>
        <w:t xml:space="preserve"> site in addition to S</w:t>
      </w:r>
      <w:r w:rsidR="00CE79CB" w:rsidRPr="00CE14AA">
        <w:rPr>
          <w:rFonts w:ascii="Arial" w:hAnsi="Arial" w:cs="Arial"/>
          <w:sz w:val="24"/>
          <w:szCs w:val="24"/>
          <w:vertAlign w:val="subscript"/>
        </w:rPr>
        <w:t>1</w:t>
      </w:r>
      <w:r w:rsidR="00CE79CB" w:rsidRPr="004B4239">
        <w:rPr>
          <w:rFonts w:ascii="Arial" w:hAnsi="Arial" w:cs="Arial"/>
          <w:sz w:val="24"/>
          <w:szCs w:val="24"/>
        </w:rPr>
        <w:t xml:space="preserve"> and S</w:t>
      </w:r>
      <w:r w:rsidR="00CE79CB" w:rsidRPr="00CE14AA">
        <w:rPr>
          <w:rFonts w:ascii="Arial" w:hAnsi="Arial" w:cs="Arial"/>
          <w:sz w:val="24"/>
          <w:szCs w:val="24"/>
          <w:vertAlign w:val="subscript"/>
        </w:rPr>
        <w:t xml:space="preserve">2 </w:t>
      </w:r>
      <w:r w:rsidR="00CE79CB" w:rsidRPr="004B4239">
        <w:rPr>
          <w:rFonts w:ascii="Arial" w:hAnsi="Arial" w:cs="Arial"/>
          <w:sz w:val="24"/>
          <w:szCs w:val="24"/>
        </w:rPr>
        <w:t>subsite.</w:t>
      </w:r>
      <w:r w:rsidR="004B4239" w:rsidRPr="004B4239">
        <w:rPr>
          <w:rFonts w:ascii="Arial" w:hAnsi="Arial" w:cs="Arial"/>
          <w:sz w:val="24"/>
          <w:szCs w:val="24"/>
        </w:rPr>
        <w:t xml:space="preserve"> </w:t>
      </w:r>
      <w:proofErr w:type="spellStart"/>
      <w:r w:rsidR="004B4239" w:rsidRPr="004B4239">
        <w:rPr>
          <w:rFonts w:ascii="Arial" w:hAnsi="Arial" w:cs="Arial"/>
          <w:sz w:val="24"/>
          <w:szCs w:val="24"/>
        </w:rPr>
        <w:t>Linaglipitn</w:t>
      </w:r>
      <w:proofErr w:type="spellEnd"/>
      <w:r w:rsidR="004B4239" w:rsidRPr="004B4239">
        <w:rPr>
          <w:rFonts w:ascii="Arial" w:hAnsi="Arial" w:cs="Arial"/>
          <w:sz w:val="24"/>
          <w:szCs w:val="24"/>
        </w:rPr>
        <w:t xml:space="preserve"> occupies S</w:t>
      </w:r>
      <w:r w:rsidR="00CE14AA">
        <w:rPr>
          <w:rFonts w:ascii="Arial" w:hAnsi="Arial" w:cs="Arial"/>
          <w:sz w:val="24"/>
          <w:szCs w:val="24"/>
        </w:rPr>
        <w:t>’</w:t>
      </w:r>
      <w:r w:rsidR="00CE14AA" w:rsidRPr="00CE14AA">
        <w:rPr>
          <w:rFonts w:ascii="Arial" w:hAnsi="Arial" w:cs="Arial"/>
          <w:sz w:val="24"/>
          <w:szCs w:val="24"/>
          <w:vertAlign w:val="subscript"/>
        </w:rPr>
        <w:t>1</w:t>
      </w:r>
      <w:r w:rsidR="004B4239" w:rsidRPr="004B4239">
        <w:rPr>
          <w:rFonts w:ascii="Arial" w:hAnsi="Arial" w:cs="Arial"/>
          <w:sz w:val="24"/>
          <w:szCs w:val="24"/>
        </w:rPr>
        <w:t>, S</w:t>
      </w:r>
      <w:r w:rsidR="00CE14AA">
        <w:rPr>
          <w:rFonts w:ascii="Arial" w:hAnsi="Arial" w:cs="Arial"/>
          <w:sz w:val="24"/>
          <w:szCs w:val="24"/>
        </w:rPr>
        <w:t>’</w:t>
      </w:r>
      <w:r w:rsidR="00CE14AA" w:rsidRPr="00CE14AA">
        <w:rPr>
          <w:rFonts w:ascii="Arial" w:hAnsi="Arial" w:cs="Arial"/>
          <w:sz w:val="24"/>
          <w:szCs w:val="24"/>
          <w:vertAlign w:val="subscript"/>
        </w:rPr>
        <w:t>2</w:t>
      </w:r>
      <w:r w:rsidR="004B4239" w:rsidRPr="004B4239">
        <w:rPr>
          <w:rFonts w:ascii="Arial" w:hAnsi="Arial" w:cs="Arial"/>
          <w:sz w:val="24"/>
          <w:szCs w:val="24"/>
        </w:rPr>
        <w:t xml:space="preserve"> as well as S</w:t>
      </w:r>
      <w:r w:rsidR="004B4239" w:rsidRPr="00CE14AA">
        <w:rPr>
          <w:rFonts w:ascii="Arial" w:hAnsi="Arial" w:cs="Arial"/>
          <w:sz w:val="24"/>
          <w:szCs w:val="24"/>
          <w:vertAlign w:val="subscript"/>
        </w:rPr>
        <w:t>1</w:t>
      </w:r>
      <w:r w:rsidR="004B4239" w:rsidRPr="004B4239">
        <w:rPr>
          <w:rFonts w:ascii="Arial" w:hAnsi="Arial" w:cs="Arial"/>
          <w:sz w:val="24"/>
          <w:szCs w:val="24"/>
        </w:rPr>
        <w:t xml:space="preserve"> and S</w:t>
      </w:r>
      <w:r w:rsidR="004B4239" w:rsidRPr="00CE14AA">
        <w:rPr>
          <w:rFonts w:ascii="Arial" w:hAnsi="Arial" w:cs="Arial"/>
          <w:sz w:val="24"/>
          <w:szCs w:val="24"/>
          <w:vertAlign w:val="subscript"/>
        </w:rPr>
        <w:t>2</w:t>
      </w:r>
      <w:r w:rsidR="004B4239" w:rsidRPr="004B4239">
        <w:rPr>
          <w:rFonts w:ascii="Arial" w:hAnsi="Arial" w:cs="Arial"/>
          <w:sz w:val="24"/>
          <w:szCs w:val="24"/>
        </w:rPr>
        <w:t xml:space="preserve"> subsites. </w:t>
      </w:r>
      <w:r w:rsidR="004B4239">
        <w:rPr>
          <w:rFonts w:ascii="Arial" w:hAnsi="Arial" w:cs="Arial"/>
          <w:sz w:val="24"/>
          <w:szCs w:val="24"/>
        </w:rPr>
        <w:t xml:space="preserve">DPP </w:t>
      </w:r>
      <w:r w:rsidR="004B4239" w:rsidRPr="004B4239">
        <w:rPr>
          <w:rFonts w:ascii="Arial" w:hAnsi="Arial" w:cs="Arial"/>
          <w:sz w:val="24"/>
          <w:szCs w:val="24"/>
        </w:rPr>
        <w:t>IV inhibition tends to increase with increase in number of binding sites.</w:t>
      </w:r>
      <w:r w:rsidR="004B4239">
        <w:rPr>
          <w:rFonts w:ascii="Arial" w:hAnsi="Arial" w:cs="Arial"/>
          <w:sz w:val="24"/>
          <w:szCs w:val="24"/>
        </w:rPr>
        <w:t xml:space="preserve"> All DPP IV inhibitors make important hydrophobic interaction with S</w:t>
      </w:r>
      <w:r w:rsidR="004B4239" w:rsidRPr="00CE14AA">
        <w:rPr>
          <w:rFonts w:ascii="Arial" w:hAnsi="Arial" w:cs="Arial"/>
          <w:sz w:val="24"/>
          <w:szCs w:val="24"/>
          <w:vertAlign w:val="subscript"/>
        </w:rPr>
        <w:t xml:space="preserve">1 </w:t>
      </w:r>
      <w:r w:rsidR="004B4239">
        <w:rPr>
          <w:rFonts w:ascii="Arial" w:hAnsi="Arial" w:cs="Arial"/>
          <w:sz w:val="24"/>
          <w:szCs w:val="24"/>
        </w:rPr>
        <w:t>subsite and salt bridge interactions with GLU205 and/ or GLU206 motif.</w:t>
      </w:r>
    </w:p>
    <w:p w:rsidR="00F34345" w:rsidRDefault="00F34345" w:rsidP="004B4239">
      <w:pPr>
        <w:spacing w:after="0" w:line="240" w:lineRule="auto"/>
        <w:jc w:val="both"/>
        <w:rPr>
          <w:rFonts w:ascii="Arial" w:hAnsi="Arial" w:cs="Arial"/>
          <w:sz w:val="24"/>
          <w:szCs w:val="24"/>
        </w:rPr>
      </w:pPr>
    </w:p>
    <w:p w:rsidR="00F34345" w:rsidRDefault="00F34345" w:rsidP="004B4239">
      <w:pPr>
        <w:spacing w:after="0" w:line="240" w:lineRule="auto"/>
        <w:jc w:val="both"/>
        <w:rPr>
          <w:rFonts w:ascii="Arial" w:hAnsi="Arial" w:cs="Arial"/>
          <w:sz w:val="24"/>
          <w:szCs w:val="24"/>
        </w:rPr>
      </w:pPr>
    </w:p>
    <w:p w:rsidR="00F34345" w:rsidRPr="00F34345" w:rsidRDefault="00F34345" w:rsidP="004B4239">
      <w:pPr>
        <w:spacing w:after="0" w:line="240" w:lineRule="auto"/>
        <w:jc w:val="both"/>
        <w:rPr>
          <w:rFonts w:ascii="Arial" w:hAnsi="Arial" w:cs="Arial"/>
          <w:b/>
          <w:bCs/>
          <w:sz w:val="24"/>
          <w:szCs w:val="24"/>
        </w:rPr>
      </w:pPr>
      <w:r w:rsidRPr="00F34345">
        <w:rPr>
          <w:rFonts w:ascii="Arial" w:hAnsi="Arial" w:cs="Arial"/>
          <w:b/>
          <w:bCs/>
          <w:sz w:val="24"/>
          <w:szCs w:val="24"/>
        </w:rPr>
        <w:t>Thrust Area: Computational Chemistry</w:t>
      </w:r>
    </w:p>
    <w:p w:rsidR="00F34345" w:rsidRDefault="00F34345" w:rsidP="004B4239">
      <w:pPr>
        <w:spacing w:after="0" w:line="240" w:lineRule="auto"/>
        <w:jc w:val="both"/>
        <w:rPr>
          <w:rFonts w:ascii="Arial" w:hAnsi="Arial" w:cs="Arial"/>
          <w:b/>
          <w:bCs/>
          <w:sz w:val="24"/>
          <w:szCs w:val="24"/>
        </w:rPr>
      </w:pPr>
      <w:r w:rsidRPr="00F34345">
        <w:rPr>
          <w:rFonts w:ascii="Arial" w:hAnsi="Arial" w:cs="Arial"/>
          <w:b/>
          <w:bCs/>
          <w:sz w:val="24"/>
          <w:szCs w:val="24"/>
        </w:rPr>
        <w:t>Category: Research</w:t>
      </w:r>
    </w:p>
    <w:p w:rsidR="00F70929" w:rsidRDefault="00F70929" w:rsidP="004B4239">
      <w:pPr>
        <w:spacing w:after="0" w:line="240" w:lineRule="auto"/>
        <w:jc w:val="both"/>
        <w:rPr>
          <w:rFonts w:ascii="Arial" w:hAnsi="Arial" w:cs="Arial"/>
          <w:b/>
          <w:bCs/>
          <w:sz w:val="24"/>
          <w:szCs w:val="24"/>
        </w:rPr>
      </w:pPr>
    </w:p>
    <w:p w:rsidR="00F70929" w:rsidRPr="00F34345" w:rsidRDefault="00F70929" w:rsidP="004B4239">
      <w:pPr>
        <w:spacing w:after="0" w:line="240" w:lineRule="auto"/>
        <w:jc w:val="both"/>
        <w:rPr>
          <w:rFonts w:ascii="Arial" w:hAnsi="Arial" w:cs="Arial"/>
          <w:b/>
          <w:bCs/>
          <w:sz w:val="24"/>
          <w:szCs w:val="24"/>
        </w:rPr>
      </w:pPr>
      <w:bookmarkStart w:id="0" w:name="_GoBack"/>
      <w:bookmarkEnd w:id="0"/>
    </w:p>
    <w:sectPr w:rsidR="00F70929" w:rsidRPr="00F34345" w:rsidSect="00D96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B5CE9"/>
    <w:rsid w:val="00013376"/>
    <w:rsid w:val="00217D8A"/>
    <w:rsid w:val="004B4239"/>
    <w:rsid w:val="006618C1"/>
    <w:rsid w:val="006B5CE9"/>
    <w:rsid w:val="00CE14AA"/>
    <w:rsid w:val="00CE79CB"/>
    <w:rsid w:val="00D965D7"/>
    <w:rsid w:val="00DB3D0A"/>
    <w:rsid w:val="00E71645"/>
    <w:rsid w:val="00EE4380"/>
    <w:rsid w:val="00F14AC3"/>
    <w:rsid w:val="00F34345"/>
    <w:rsid w:val="00F7092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21B64-0A68-4718-B1F9-554D7732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Jagat Upadhyay</dc:creator>
  <cp:lastModifiedBy>Tejas Patel</cp:lastModifiedBy>
  <cp:revision>11</cp:revision>
  <dcterms:created xsi:type="dcterms:W3CDTF">2015-09-02T22:30:00Z</dcterms:created>
  <dcterms:modified xsi:type="dcterms:W3CDTF">2018-12-29T07:48:00Z</dcterms:modified>
</cp:coreProperties>
</file>