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FF" w:rsidRDefault="00E90102" w:rsidP="00E90102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90102">
        <w:rPr>
          <w:rFonts w:ascii="Times New Roman" w:hAnsi="Times New Roman" w:cs="Times New Roman"/>
          <w:b/>
          <w:sz w:val="36"/>
          <w:szCs w:val="24"/>
        </w:rPr>
        <w:t>TABLE OF CONTNETS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290"/>
        <w:gridCol w:w="1165"/>
      </w:tblGrid>
      <w:tr w:rsidR="00E90102" w:rsidRPr="000430A3" w:rsidTr="00277CF2">
        <w:tc>
          <w:tcPr>
            <w:tcW w:w="895" w:type="dxa"/>
            <w:vAlign w:val="center"/>
          </w:tcPr>
          <w:p w:rsidR="00E90102" w:rsidRPr="000430A3" w:rsidRDefault="00E90102" w:rsidP="00E90102">
            <w:pPr>
              <w:spacing w:before="60" w:after="6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7290" w:type="dxa"/>
            <w:vAlign w:val="center"/>
          </w:tcPr>
          <w:p w:rsidR="00E90102" w:rsidRPr="000430A3" w:rsidRDefault="00E90102" w:rsidP="00E90102">
            <w:pPr>
              <w:spacing w:before="60" w:after="60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1165" w:type="dxa"/>
            <w:vAlign w:val="center"/>
          </w:tcPr>
          <w:p w:rsidR="00E90102" w:rsidRPr="000430A3" w:rsidRDefault="00E90102" w:rsidP="00E90102">
            <w:pPr>
              <w:spacing w:before="60" w:after="60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Page No.</w:t>
            </w:r>
          </w:p>
        </w:tc>
      </w:tr>
      <w:tr w:rsidR="00E90102" w:rsidRPr="000430A3" w:rsidTr="00277CF2">
        <w:tc>
          <w:tcPr>
            <w:tcW w:w="895" w:type="dxa"/>
            <w:vAlign w:val="center"/>
          </w:tcPr>
          <w:p w:rsidR="00E90102" w:rsidRPr="000430A3" w:rsidRDefault="00E90102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Education and the Decadence of Technology</w:t>
            </w:r>
          </w:p>
          <w:p w:rsidR="00E90102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Martin Oliver</w:t>
            </w:r>
          </w:p>
        </w:tc>
        <w:tc>
          <w:tcPr>
            <w:tcW w:w="1165" w:type="dxa"/>
            <w:vAlign w:val="center"/>
          </w:tcPr>
          <w:p w:rsidR="00E90102" w:rsidRPr="000430A3" w:rsidRDefault="000430A3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1-27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2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Redefining Reality and Identity in the Post-Human Age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Mohammad Asif &amp;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Devindrappa</w:t>
            </w:r>
            <w:proofErr w:type="spellEnd"/>
          </w:p>
        </w:tc>
        <w:tc>
          <w:tcPr>
            <w:tcW w:w="1165" w:type="dxa"/>
            <w:vAlign w:val="center"/>
          </w:tcPr>
          <w:p w:rsidR="0079297B" w:rsidRPr="000430A3" w:rsidRDefault="000430A3" w:rsidP="000430A3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28-39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3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(Re)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Conceptualising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Dementia through Literature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Alen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Itty Jose &amp; Donna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Achamma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Ninan</w:t>
            </w:r>
            <w:proofErr w:type="spellEnd"/>
          </w:p>
        </w:tc>
        <w:tc>
          <w:tcPr>
            <w:tcW w:w="1165" w:type="dxa"/>
            <w:vAlign w:val="center"/>
          </w:tcPr>
          <w:p w:rsidR="0079297B" w:rsidRPr="000430A3" w:rsidRDefault="000430A3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40-47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4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Food, Memories, and Women's Identities: A Feminist Reading of Select Diasporic Indian Women's Food Blogs/Vlogs as Cultural Meta-Narratives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Payel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Dutta Chowdhury,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Beena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G. &amp;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Sudeshna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Das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48-64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The Individual and the Collective: Refractions of Memory, History and Testimony in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Aanchal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Malhotra's Selected Partition Writings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Geetika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Khatri &amp;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Rimika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Singhv</w:t>
            </w:r>
            <w:proofErr w:type="spellEnd"/>
          </w:p>
        </w:tc>
        <w:tc>
          <w:tcPr>
            <w:tcW w:w="1165" w:type="dxa"/>
            <w:vAlign w:val="center"/>
          </w:tcPr>
          <w:p w:rsidR="0079297B" w:rsidRPr="000430A3" w:rsidRDefault="000430A3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65-77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6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The Mayhem of </w:t>
            </w:r>
            <w:proofErr w:type="gram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In</w:t>
            </w:r>
            <w:proofErr w:type="gram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Between Existence: Decoding Transitional Liminality in </w:t>
            </w:r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 xml:space="preserve">The Seven Moons of </w:t>
            </w:r>
            <w:proofErr w:type="spellStart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Maali</w:t>
            </w:r>
            <w:proofErr w:type="spellEnd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 xml:space="preserve"> Almeida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Raisun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Mathew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78-92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7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"Benign-Violation": The Politics of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Humour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in Indian Performative Comedy 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Prachi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Behrani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Vinaya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Kumari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&amp; Beulah Victor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93-107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8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Swaying between Divinity and Discrimination: </w:t>
            </w:r>
            <w:proofErr w:type="spellStart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Theyyam</w:t>
            </w:r>
            <w:proofErr w:type="spellEnd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Performance and the Dalit Experience in A.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Shanthakumar's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Dreamhunt</w:t>
            </w:r>
            <w:proofErr w:type="spellEnd"/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Reneeta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Anna Robert &amp; Krupa Shah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108-127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9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Self-Censorship and Self-Promotion: How Social Media Shapes Fiction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Adil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Hussain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128-138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10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A Study of the Contemporary Interpretations of the </w:t>
            </w:r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Ramayana</w:t>
            </w: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:  Literary Criticism, Magical Realism and the Socio-psychological Impact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Sudarsana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Sarka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Udayan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Chakraborty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139-162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11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Mother-Daughter Relationships and Women's Bonding in Isabel Allende's </w:t>
            </w:r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The House of the Spirits</w:t>
            </w: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ab/>
            </w: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ab/>
            </w: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ab/>
            </w: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ab/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lastRenderedPageBreak/>
              <w:t>Manashi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Bora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lastRenderedPageBreak/>
              <w:t>163-174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E90102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12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Fostering Socio-psychological Resilience in the Survivors of Child Sexual Exploitation and Abuse: A Study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Padmapriya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P. &amp; M.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Alagesan</w:t>
            </w:r>
            <w:proofErr w:type="spellEnd"/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175-193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13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Child Abuse in Mahesh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Dattani's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 xml:space="preserve">Tara </w:t>
            </w: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and Mahesh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Elkunchwar's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God Son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Susan Lobo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194-206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14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'Pinky Madam' on Screen: Condensation and Expansion in the Cinematic Rendition of </w:t>
            </w: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ab/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Aravind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Adiga's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The</w:t>
            </w:r>
            <w:proofErr w:type="gramEnd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 xml:space="preserve"> White Tiger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Priya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Meena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&amp; Rajiv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Ranjan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Dwivedi</w:t>
            </w:r>
            <w:proofErr w:type="spellEnd"/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207-217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15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Love amidst War: Bonds of Love in Khaled Hosseini's </w:t>
            </w:r>
            <w:proofErr w:type="gramStart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And</w:t>
            </w:r>
            <w:proofErr w:type="gramEnd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 xml:space="preserve"> the Mountains Echoed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Abrar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Ahmed &amp;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Meha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Sharma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218-228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16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(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En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)gendering Division of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Labour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in COVID-19 Lockdown: A Study of Domestic Space in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Shobhaa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De's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 xml:space="preserve">After This, </w:t>
            </w:r>
            <w:proofErr w:type="gramStart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Dubai ?</w:t>
            </w:r>
            <w:proofErr w:type="gramEnd"/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Anik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Das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229-241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17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La vie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échouée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des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prostituées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dans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Putain</w:t>
            </w:r>
            <w:proofErr w:type="spellEnd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de Nelly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Arcan</w:t>
            </w:r>
            <w:proofErr w:type="spellEnd"/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Sushant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Kumar Dubey  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242-250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79297B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18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In Conversation</w:t>
            </w:r>
          </w:p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Carving a Niche in Indian Horror Writing</w:t>
            </w:r>
            <w:bookmarkStart w:id="0" w:name="_GoBack"/>
            <w:bookmarkEnd w:id="0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: An Interview with Neil </w:t>
            </w:r>
            <w:proofErr w:type="spellStart"/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D'Silva</w:t>
            </w:r>
            <w:proofErr w:type="spellEnd"/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Renuka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Dhyani</w:t>
            </w:r>
            <w:proofErr w:type="spellEnd"/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251-261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19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Book Review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Abish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Jebeshy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R.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0430A3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262-266</w:t>
            </w:r>
          </w:p>
        </w:tc>
      </w:tr>
      <w:tr w:rsidR="0079297B" w:rsidRPr="000430A3" w:rsidTr="00277CF2">
        <w:tc>
          <w:tcPr>
            <w:tcW w:w="89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20</w:t>
            </w:r>
          </w:p>
        </w:tc>
        <w:tc>
          <w:tcPr>
            <w:tcW w:w="7290" w:type="dxa"/>
            <w:vAlign w:val="center"/>
          </w:tcPr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i/>
                <w:iCs/>
                <w:sz w:val="24"/>
                <w:szCs w:val="24"/>
              </w:rPr>
              <w:t>Film Review</w:t>
            </w:r>
          </w:p>
          <w:p w:rsidR="000430A3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b/>
                <w:sz w:val="24"/>
                <w:szCs w:val="24"/>
              </w:rPr>
              <w:t>Stranded and Struggling: Instinct and Tenacity in a Survival Thriller</w:t>
            </w:r>
          </w:p>
          <w:p w:rsidR="0079297B" w:rsidRPr="000430A3" w:rsidRDefault="000430A3" w:rsidP="000430A3">
            <w:pPr>
              <w:spacing w:before="60" w:after="60"/>
              <w:jc w:val="both"/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>Anupama</w:t>
            </w:r>
            <w:proofErr w:type="spellEnd"/>
            <w:r w:rsidRPr="000430A3">
              <w:rPr>
                <w:rFonts w:ascii="Book Antiqua" w:hAnsi="Book Antiqua" w:cs="Times New Roman"/>
                <w:bCs/>
                <w:i/>
                <w:iCs/>
                <w:sz w:val="24"/>
                <w:szCs w:val="24"/>
              </w:rPr>
              <w:t xml:space="preserve"> A.P.</w:t>
            </w:r>
          </w:p>
        </w:tc>
        <w:tc>
          <w:tcPr>
            <w:tcW w:w="1165" w:type="dxa"/>
            <w:vAlign w:val="center"/>
          </w:tcPr>
          <w:p w:rsidR="0079297B" w:rsidRPr="000430A3" w:rsidRDefault="000430A3" w:rsidP="0079297B">
            <w:pPr>
              <w:spacing w:before="60" w:after="6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0430A3">
              <w:rPr>
                <w:rFonts w:ascii="Book Antiqua" w:hAnsi="Book Antiqua" w:cs="Times New Roman"/>
                <w:sz w:val="24"/>
                <w:szCs w:val="24"/>
              </w:rPr>
              <w:t>267-272</w:t>
            </w:r>
          </w:p>
        </w:tc>
      </w:tr>
    </w:tbl>
    <w:p w:rsidR="00E90102" w:rsidRDefault="00E90102" w:rsidP="00E90102">
      <w:pPr>
        <w:rPr>
          <w:rFonts w:ascii="Times New Roman" w:hAnsi="Times New Roman" w:cs="Times New Roman"/>
          <w:sz w:val="24"/>
          <w:szCs w:val="24"/>
        </w:rPr>
      </w:pPr>
    </w:p>
    <w:p w:rsidR="00E90102" w:rsidRPr="00E90102" w:rsidRDefault="00E90102" w:rsidP="00E90102">
      <w:pPr>
        <w:rPr>
          <w:rFonts w:ascii="Times New Roman" w:hAnsi="Times New Roman" w:cs="Times New Roman"/>
          <w:sz w:val="24"/>
          <w:szCs w:val="24"/>
        </w:rPr>
      </w:pPr>
    </w:p>
    <w:sectPr w:rsidR="00E90102" w:rsidRPr="00E90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02"/>
    <w:rsid w:val="000430A3"/>
    <w:rsid w:val="00277CF2"/>
    <w:rsid w:val="004277FF"/>
    <w:rsid w:val="0079297B"/>
    <w:rsid w:val="00E90102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2440"/>
  <w15:chartTrackingRefBased/>
  <w15:docId w15:val="{F5ACDBA3-EA3B-4EF1-861C-46713FC8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 Graphic</dc:creator>
  <cp:keywords/>
  <dc:description/>
  <cp:lastModifiedBy>Vikash Graphic</cp:lastModifiedBy>
  <cp:revision>3</cp:revision>
  <dcterms:created xsi:type="dcterms:W3CDTF">2023-12-21T09:13:00Z</dcterms:created>
  <dcterms:modified xsi:type="dcterms:W3CDTF">2024-05-22T10:21:00Z</dcterms:modified>
</cp:coreProperties>
</file>