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AB" w:rsidRPr="00AB2DDC" w:rsidRDefault="002034AB" w:rsidP="00891411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24"/>
        </w:rPr>
      </w:pPr>
      <w:r w:rsidRPr="00AB2DDC">
        <w:rPr>
          <w:rFonts w:ascii="Arial" w:hAnsi="Arial" w:cs="Arial"/>
          <w:b/>
          <w:sz w:val="32"/>
          <w:szCs w:val="24"/>
        </w:rPr>
        <w:t>Oxygen Reduction Reaction Electrocatalysis by Cobalt-Ferrites: Effect of Borax</w:t>
      </w:r>
      <w:r w:rsidR="00BA0568" w:rsidRPr="00AB2DDC">
        <w:rPr>
          <w:rFonts w:ascii="Arial" w:hAnsi="Arial" w:cs="Arial"/>
          <w:b/>
          <w:sz w:val="32"/>
          <w:szCs w:val="24"/>
        </w:rPr>
        <w:t xml:space="preserve"> </w:t>
      </w:r>
      <w:r w:rsidRPr="00AB2DDC">
        <w:rPr>
          <w:rFonts w:ascii="Arial" w:hAnsi="Arial" w:cs="Arial"/>
          <w:b/>
          <w:sz w:val="32"/>
          <w:szCs w:val="24"/>
        </w:rPr>
        <w:t>on Electrocatalytic Activity</w:t>
      </w:r>
    </w:p>
    <w:p w:rsidR="00891411" w:rsidRPr="00AB2DDC" w:rsidRDefault="00891411" w:rsidP="0089141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4"/>
          <w:u w:val="single"/>
        </w:rPr>
      </w:pPr>
    </w:p>
    <w:p w:rsidR="0057604E" w:rsidRPr="00AB2DDC" w:rsidRDefault="0057604E" w:rsidP="0089141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8"/>
          <w:szCs w:val="24"/>
        </w:rPr>
      </w:pPr>
      <w:r w:rsidRPr="00AB2DDC">
        <w:rPr>
          <w:rFonts w:ascii="Arial" w:hAnsi="Arial" w:cs="Arial"/>
          <w:sz w:val="28"/>
          <w:szCs w:val="24"/>
          <w:u w:val="single"/>
        </w:rPr>
        <w:t>Disha Soni</w:t>
      </w:r>
      <w:r w:rsidRPr="00AB2DDC">
        <w:rPr>
          <w:rFonts w:ascii="Arial" w:hAnsi="Arial" w:cs="Arial"/>
          <w:sz w:val="28"/>
          <w:szCs w:val="24"/>
        </w:rPr>
        <w:t>,</w:t>
      </w:r>
      <w:r w:rsidRPr="00AB2DDC">
        <w:rPr>
          <w:rFonts w:ascii="Arial" w:hAnsi="Arial" w:cs="Arial"/>
          <w:sz w:val="28"/>
          <w:szCs w:val="24"/>
          <w:vertAlign w:val="superscript"/>
        </w:rPr>
        <w:t>1</w:t>
      </w:r>
      <w:r w:rsidRPr="00AB2DDC">
        <w:rPr>
          <w:rFonts w:ascii="Arial" w:hAnsi="Arial" w:cs="Arial"/>
          <w:sz w:val="28"/>
          <w:szCs w:val="24"/>
        </w:rPr>
        <w:t xml:space="preserve"> Raghu Chitta</w:t>
      </w:r>
      <w:r w:rsidRPr="00AB2DDC">
        <w:rPr>
          <w:rFonts w:ascii="Arial" w:hAnsi="Arial" w:cs="Arial"/>
          <w:sz w:val="28"/>
          <w:szCs w:val="24"/>
          <w:vertAlign w:val="superscript"/>
        </w:rPr>
        <w:t>1</w:t>
      </w:r>
      <w:r w:rsidRPr="00AB2DDC">
        <w:rPr>
          <w:rFonts w:ascii="Arial" w:hAnsi="Arial" w:cs="Arial"/>
          <w:sz w:val="28"/>
          <w:szCs w:val="24"/>
        </w:rPr>
        <w:t xml:space="preserve"> and Rahul Pal</w:t>
      </w:r>
      <w:r w:rsidRPr="00AB2DDC">
        <w:rPr>
          <w:rFonts w:ascii="Arial" w:hAnsi="Arial" w:cs="Arial"/>
          <w:sz w:val="28"/>
          <w:szCs w:val="24"/>
          <w:vertAlign w:val="superscript"/>
        </w:rPr>
        <w:t>2</w:t>
      </w:r>
      <w:r w:rsidRPr="00AB2DDC">
        <w:rPr>
          <w:rFonts w:ascii="Arial" w:hAnsi="Arial" w:cs="Arial"/>
          <w:sz w:val="28"/>
          <w:szCs w:val="24"/>
        </w:rPr>
        <w:t>*</w:t>
      </w:r>
    </w:p>
    <w:p w:rsidR="0057604E" w:rsidRPr="00AB2DDC" w:rsidRDefault="0057604E" w:rsidP="006246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843F7E" w:rsidRDefault="0057604E" w:rsidP="00843F7E">
      <w:pPr>
        <w:spacing w:after="0" w:line="240" w:lineRule="auto"/>
        <w:jc w:val="center"/>
        <w:rPr>
          <w:rFonts w:ascii="Arial" w:hAnsi="Arial" w:cs="Arial"/>
          <w:i/>
          <w:szCs w:val="20"/>
          <w:lang w:val="en-IN"/>
        </w:rPr>
      </w:pPr>
      <w:r w:rsidRPr="00AB2DDC">
        <w:rPr>
          <w:rFonts w:ascii="Arial" w:hAnsi="Arial" w:cs="Arial"/>
          <w:i/>
          <w:szCs w:val="20"/>
          <w:vertAlign w:val="superscript"/>
          <w:lang w:val="en-IN"/>
        </w:rPr>
        <w:t>1</w:t>
      </w:r>
      <w:r w:rsidRPr="00AB2DDC">
        <w:rPr>
          <w:rFonts w:ascii="Arial" w:hAnsi="Arial" w:cs="Arial"/>
          <w:i/>
          <w:szCs w:val="20"/>
          <w:lang w:val="en-IN"/>
        </w:rPr>
        <w:t>Department of Chemistry, School of Chemical Sciences &amp; Pharmacy, Central University of Rajasthan, Bandarsindri, Tehsil: Kishangarh, Distt. Ajmer, Rajasthan – 305817, India.</w:t>
      </w:r>
    </w:p>
    <w:p w:rsidR="0057604E" w:rsidRDefault="0057604E" w:rsidP="00843F7E">
      <w:pPr>
        <w:spacing w:after="0" w:line="240" w:lineRule="auto"/>
        <w:jc w:val="center"/>
        <w:rPr>
          <w:rFonts w:ascii="Arial" w:hAnsi="Arial" w:cs="Arial"/>
          <w:i/>
          <w:szCs w:val="20"/>
          <w:lang w:val="en-IN"/>
        </w:rPr>
      </w:pPr>
      <w:r w:rsidRPr="00AB2DDC">
        <w:rPr>
          <w:rFonts w:ascii="Arial" w:hAnsi="Arial" w:cs="Arial"/>
          <w:i/>
          <w:szCs w:val="20"/>
          <w:vertAlign w:val="superscript"/>
          <w:lang w:val="en-IN"/>
        </w:rPr>
        <w:t>2</w:t>
      </w:r>
      <w:r w:rsidRPr="00AB2DDC">
        <w:rPr>
          <w:rFonts w:ascii="Arial" w:hAnsi="Arial" w:cs="Arial"/>
          <w:i/>
          <w:szCs w:val="20"/>
          <w:lang w:val="en-IN"/>
        </w:rPr>
        <w:t>Department of Chemistry, SBSR, Sharda University, Greater Noida, U.P. – 201306, India.</w:t>
      </w:r>
    </w:p>
    <w:p w:rsidR="00843F7E" w:rsidRPr="00AB2DDC" w:rsidRDefault="00843F7E" w:rsidP="00843F7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</w:p>
    <w:p w:rsidR="00843D67" w:rsidRDefault="00843D67" w:rsidP="00E144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2DDC">
        <w:rPr>
          <w:rFonts w:ascii="Arial" w:hAnsi="Arial" w:cs="Arial"/>
          <w:sz w:val="24"/>
          <w:szCs w:val="24"/>
        </w:rPr>
        <w:t>Proton Exchange Membrane Fuel Cell (PEMFC)</w:t>
      </w:r>
      <w:r w:rsidR="000B4E3F" w:rsidRPr="00AB2DDC">
        <w:rPr>
          <w:rFonts w:ascii="Arial" w:hAnsi="Arial" w:cs="Arial"/>
          <w:sz w:val="24"/>
          <w:szCs w:val="24"/>
        </w:rPr>
        <w:t xml:space="preserve"> is an energy conversion device, which</w:t>
      </w:r>
      <w:r w:rsidRPr="00AB2DDC">
        <w:rPr>
          <w:rFonts w:ascii="Arial" w:hAnsi="Arial" w:cs="Arial"/>
          <w:sz w:val="24"/>
          <w:szCs w:val="24"/>
        </w:rPr>
        <w:t xml:space="preserve"> converts chemical energy to electricity with high energy efficiency, high power density and zero emissions. </w:t>
      </w:r>
      <w:r w:rsidR="00205194" w:rsidRPr="00AB2DDC">
        <w:rPr>
          <w:rFonts w:ascii="Arial" w:hAnsi="Arial" w:cs="Arial"/>
          <w:sz w:val="24"/>
          <w:szCs w:val="24"/>
        </w:rPr>
        <w:t>Its</w:t>
      </w:r>
      <w:r w:rsidR="000B4E3F" w:rsidRPr="00AB2DDC">
        <w:rPr>
          <w:rFonts w:ascii="Arial" w:hAnsi="Arial" w:cs="Arial"/>
          <w:sz w:val="24"/>
          <w:szCs w:val="24"/>
        </w:rPr>
        <w:t xml:space="preserve"> commercialization is facing hindrance due to the need of Platinum catalyst for </w:t>
      </w:r>
      <w:r w:rsidR="00205194" w:rsidRPr="00AB2DDC">
        <w:rPr>
          <w:rFonts w:ascii="Arial" w:hAnsi="Arial" w:cs="Arial"/>
          <w:sz w:val="24"/>
          <w:szCs w:val="24"/>
        </w:rPr>
        <w:t>enhancing</w:t>
      </w:r>
      <w:r w:rsidR="003875AA" w:rsidRPr="00AB2DDC">
        <w:rPr>
          <w:rFonts w:ascii="Arial" w:hAnsi="Arial" w:cs="Arial"/>
          <w:sz w:val="24"/>
          <w:szCs w:val="24"/>
        </w:rPr>
        <w:t xml:space="preserve"> sluggish oxygen reduction r</w:t>
      </w:r>
      <w:r w:rsidR="000B4E3F" w:rsidRPr="00AB2DDC">
        <w:rPr>
          <w:rFonts w:ascii="Arial" w:hAnsi="Arial" w:cs="Arial"/>
          <w:sz w:val="24"/>
          <w:szCs w:val="24"/>
        </w:rPr>
        <w:t xml:space="preserve">eaction (ORR) kinetics at the cathode. Platinum is expensive and has </w:t>
      </w:r>
      <w:r w:rsidRPr="00AB2DDC">
        <w:rPr>
          <w:rFonts w:ascii="Arial" w:hAnsi="Arial" w:cs="Arial"/>
          <w:sz w:val="24"/>
          <w:szCs w:val="24"/>
        </w:rPr>
        <w:t xml:space="preserve">insufficient durability. </w:t>
      </w:r>
      <w:r w:rsidR="009023DF" w:rsidRPr="00AB2DDC">
        <w:rPr>
          <w:rFonts w:ascii="Arial" w:hAnsi="Arial" w:cs="Arial"/>
          <w:sz w:val="24"/>
          <w:szCs w:val="24"/>
        </w:rPr>
        <w:t>Therefore, n</w:t>
      </w:r>
      <w:r w:rsidRPr="00AB2DDC">
        <w:rPr>
          <w:rFonts w:ascii="Arial" w:hAnsi="Arial" w:cs="Arial"/>
          <w:sz w:val="24"/>
          <w:szCs w:val="24"/>
        </w:rPr>
        <w:t>on-precious cathode catalysts are required to suffice the slow kinetics in PEMFCs and make it commercially viable.</w:t>
      </w:r>
      <w:r w:rsidRPr="00AB2DDC">
        <w:rPr>
          <w:rFonts w:ascii="Arial" w:hAnsi="Arial" w:cs="Arial"/>
          <w:sz w:val="24"/>
          <w:szCs w:val="24"/>
          <w:vertAlign w:val="superscript"/>
        </w:rPr>
        <w:t>1</w:t>
      </w:r>
      <w:r w:rsidR="00E47298" w:rsidRPr="00AB2DD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B2DDC">
        <w:rPr>
          <w:rFonts w:ascii="Arial" w:hAnsi="Arial" w:cs="Arial"/>
          <w:sz w:val="24"/>
          <w:szCs w:val="24"/>
        </w:rPr>
        <w:t>Our a</w:t>
      </w:r>
      <w:r w:rsidR="00A443A8" w:rsidRPr="00AB2DDC">
        <w:rPr>
          <w:rFonts w:ascii="Arial" w:hAnsi="Arial" w:cs="Arial"/>
          <w:sz w:val="24"/>
          <w:szCs w:val="24"/>
        </w:rPr>
        <w:t>pproach is based on the synthesis of</w:t>
      </w:r>
      <w:r w:rsidRPr="00AB2DDC">
        <w:rPr>
          <w:rFonts w:ascii="Arial" w:hAnsi="Arial" w:cs="Arial"/>
          <w:sz w:val="24"/>
          <w:szCs w:val="24"/>
        </w:rPr>
        <w:t xml:space="preserve"> bimetallic oxide catalysts </w:t>
      </w:r>
      <w:r w:rsidR="00885E88" w:rsidRPr="00AB2DDC">
        <w:rPr>
          <w:rFonts w:ascii="Arial" w:hAnsi="Arial" w:cs="Arial"/>
          <w:sz w:val="24"/>
          <w:szCs w:val="24"/>
        </w:rPr>
        <w:t xml:space="preserve">from cheaper solution combustion synthesis, </w:t>
      </w:r>
      <w:r w:rsidRPr="00AB2DDC">
        <w:rPr>
          <w:rFonts w:ascii="Arial" w:hAnsi="Arial" w:cs="Arial"/>
          <w:sz w:val="24"/>
          <w:szCs w:val="24"/>
        </w:rPr>
        <w:t xml:space="preserve">so as to make </w:t>
      </w:r>
      <w:r w:rsidR="00D335EA" w:rsidRPr="00AB2DDC">
        <w:rPr>
          <w:rFonts w:ascii="Arial" w:hAnsi="Arial" w:cs="Arial"/>
          <w:sz w:val="24"/>
          <w:szCs w:val="24"/>
        </w:rPr>
        <w:t xml:space="preserve">use of the synergistic effects and hence make </w:t>
      </w:r>
      <w:r w:rsidRPr="00AB2DDC">
        <w:rPr>
          <w:rFonts w:ascii="Arial" w:hAnsi="Arial" w:cs="Arial"/>
          <w:sz w:val="24"/>
          <w:szCs w:val="24"/>
        </w:rPr>
        <w:t>it</w:t>
      </w:r>
      <w:r w:rsidR="00D335EA" w:rsidRPr="00AB2DDC">
        <w:rPr>
          <w:rFonts w:ascii="Arial" w:hAnsi="Arial" w:cs="Arial"/>
          <w:sz w:val="24"/>
          <w:szCs w:val="24"/>
        </w:rPr>
        <w:t xml:space="preserve"> more efficient for</w:t>
      </w:r>
      <w:r w:rsidR="00556662" w:rsidRPr="00AB2DDC">
        <w:rPr>
          <w:rFonts w:ascii="Arial" w:hAnsi="Arial" w:cs="Arial"/>
          <w:sz w:val="24"/>
          <w:szCs w:val="24"/>
        </w:rPr>
        <w:t xml:space="preserve"> </w:t>
      </w:r>
      <w:r w:rsidR="00885E88" w:rsidRPr="00AB2DDC">
        <w:rPr>
          <w:rFonts w:ascii="Arial" w:hAnsi="Arial" w:cs="Arial"/>
          <w:sz w:val="24"/>
          <w:szCs w:val="24"/>
        </w:rPr>
        <w:t>electrocatalytic</w:t>
      </w:r>
      <w:r w:rsidR="00D335EA" w:rsidRPr="00AB2DDC">
        <w:rPr>
          <w:rFonts w:ascii="Arial" w:hAnsi="Arial" w:cs="Arial"/>
          <w:sz w:val="24"/>
          <w:szCs w:val="24"/>
        </w:rPr>
        <w:t xml:space="preserve"> application.</w:t>
      </w:r>
    </w:p>
    <w:p w:rsidR="00AB2DDC" w:rsidRPr="00AB2DDC" w:rsidRDefault="00AB2DDC" w:rsidP="00E144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DDC" w:rsidRPr="00AB2DDC" w:rsidRDefault="00AB2DDC" w:rsidP="00E14417">
      <w:pPr>
        <w:tabs>
          <w:tab w:val="center" w:pos="46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DDC">
        <w:rPr>
          <w:rFonts w:ascii="Arial" w:hAnsi="Arial" w:cs="Arial"/>
          <w:sz w:val="24"/>
          <w:szCs w:val="24"/>
        </w:rPr>
        <w:t>Cobalt ferrites for ORR electrocatalytic activity were synthesized by solution combustion synthesis with varied amounts of borax as additive (10 to 50 at.% boron). The synthesized catalysts were characterized by X-Ray diffraction, X-Ray Photoelectron Spectroscopy</w:t>
      </w:r>
      <w:r>
        <w:rPr>
          <w:rFonts w:ascii="Arial" w:hAnsi="Arial" w:cs="Arial"/>
          <w:sz w:val="24"/>
          <w:szCs w:val="24"/>
        </w:rPr>
        <w:t xml:space="preserve"> (XPS)</w:t>
      </w:r>
      <w:r w:rsidRPr="00AB2DDC">
        <w:rPr>
          <w:rFonts w:ascii="Arial" w:hAnsi="Arial" w:cs="Arial"/>
          <w:sz w:val="24"/>
          <w:szCs w:val="24"/>
        </w:rPr>
        <w:t>, and Scanning Electron Microscopy techniques. XPS showed the presence of Fe</w:t>
      </w:r>
      <w:r w:rsidRPr="00AB2DDC">
        <w:rPr>
          <w:rFonts w:ascii="Arial" w:hAnsi="Arial" w:cs="Arial"/>
          <w:sz w:val="24"/>
          <w:szCs w:val="24"/>
          <w:vertAlign w:val="superscript"/>
        </w:rPr>
        <w:t>3+</w:t>
      </w:r>
      <w:r w:rsidRPr="00AB2DDC">
        <w:rPr>
          <w:rFonts w:ascii="Arial" w:hAnsi="Arial" w:cs="Arial"/>
          <w:sz w:val="24"/>
          <w:szCs w:val="24"/>
        </w:rPr>
        <w:t xml:space="preserve"> and Co</w:t>
      </w:r>
      <w:r w:rsidRPr="00AB2DDC">
        <w:rPr>
          <w:rFonts w:ascii="Arial" w:hAnsi="Arial" w:cs="Arial"/>
          <w:sz w:val="24"/>
          <w:szCs w:val="24"/>
          <w:vertAlign w:val="superscript"/>
        </w:rPr>
        <w:t>2+</w:t>
      </w:r>
      <w:r w:rsidRPr="00AB2DDC">
        <w:rPr>
          <w:rFonts w:ascii="Arial" w:hAnsi="Arial" w:cs="Arial"/>
          <w:sz w:val="24"/>
          <w:szCs w:val="24"/>
        </w:rPr>
        <w:t xml:space="preserve"> in the prepared samples. The nitrogen adsorption-desorption isotherms indicated the positive effect of borax as additive on surface area. The RDE voltammetry studies exhibited that with increasing amount of borax (10 to 50 at.% boron), the ORR current density increased from 0.15 to 3.56 mAcm</w:t>
      </w:r>
      <w:r w:rsidRPr="00AB2DDC">
        <w:rPr>
          <w:rFonts w:ascii="Arial" w:hAnsi="Arial" w:cs="Arial"/>
          <w:sz w:val="24"/>
          <w:szCs w:val="24"/>
          <w:vertAlign w:val="superscript"/>
        </w:rPr>
        <w:t>-2</w:t>
      </w:r>
      <w:r w:rsidRPr="00AB2DDC">
        <w:rPr>
          <w:rFonts w:ascii="Arial" w:hAnsi="Arial" w:cs="Arial"/>
          <w:sz w:val="24"/>
          <w:szCs w:val="24"/>
        </w:rPr>
        <w:t>. The highest onset potential value of 0.77 V vs RHE was observed with lower Tafel slope value for FeCo, 10FeCo and 20FeCo at 66.4, 80.9 and 75 mVdec</w:t>
      </w:r>
      <w:r w:rsidRPr="00AB2DDC">
        <w:rPr>
          <w:rFonts w:ascii="Arial" w:hAnsi="Arial" w:cs="Arial"/>
          <w:sz w:val="24"/>
          <w:szCs w:val="24"/>
          <w:vertAlign w:val="superscript"/>
        </w:rPr>
        <w:t>-1</w:t>
      </w:r>
      <w:r w:rsidRPr="00AB2DDC">
        <w:rPr>
          <w:rFonts w:ascii="Arial" w:hAnsi="Arial" w:cs="Arial"/>
          <w:sz w:val="24"/>
          <w:szCs w:val="24"/>
        </w:rPr>
        <w:t xml:space="preserve"> respectively. Koutecky-Levich plot revealed a ~4e ORR process for 20FeCo. Fe</w:t>
      </w:r>
      <w:r w:rsidRPr="00AB2DDC">
        <w:rPr>
          <w:rFonts w:ascii="Arial" w:hAnsi="Arial" w:cs="Arial"/>
          <w:sz w:val="24"/>
          <w:szCs w:val="24"/>
          <w:rtl/>
          <w:lang w:bidi="he-IL"/>
        </w:rPr>
        <w:t>׃</w:t>
      </w:r>
      <w:r w:rsidRPr="00AB2DDC">
        <w:rPr>
          <w:rFonts w:ascii="Arial" w:hAnsi="Arial" w:cs="Arial"/>
          <w:sz w:val="24"/>
          <w:szCs w:val="24"/>
        </w:rPr>
        <w:t>Co = 1</w:t>
      </w:r>
      <w:r w:rsidRPr="00AB2DDC">
        <w:rPr>
          <w:rFonts w:ascii="Arial" w:hAnsi="Arial" w:cs="Arial"/>
          <w:sz w:val="24"/>
          <w:szCs w:val="24"/>
          <w:rtl/>
          <w:lang w:bidi="he-IL"/>
        </w:rPr>
        <w:t>׃</w:t>
      </w:r>
      <w:r w:rsidR="009E5DD5">
        <w:rPr>
          <w:rFonts w:ascii="Arial" w:hAnsi="Arial" w:cs="Arial"/>
          <w:sz w:val="24"/>
          <w:szCs w:val="24"/>
        </w:rPr>
        <w:t>1</w:t>
      </w:r>
      <w:r w:rsidR="00B1058C">
        <w:rPr>
          <w:rFonts w:ascii="Arial" w:hAnsi="Arial" w:cs="Arial"/>
          <w:sz w:val="24"/>
          <w:szCs w:val="24"/>
        </w:rPr>
        <w:t xml:space="preserve"> was</w:t>
      </w:r>
      <w:r w:rsidRPr="00AB2DDC">
        <w:rPr>
          <w:rFonts w:ascii="Arial" w:hAnsi="Arial" w:cs="Arial"/>
          <w:sz w:val="24"/>
          <w:szCs w:val="24"/>
        </w:rPr>
        <w:t xml:space="preserve"> found to be the optimum surface elemental composition for better ORR performance of cobalt-ferrites.</w:t>
      </w:r>
    </w:p>
    <w:p w:rsidR="00843D67" w:rsidRPr="00F66F3A" w:rsidRDefault="00843D67" w:rsidP="00843D67">
      <w:pPr>
        <w:rPr>
          <w:rFonts w:ascii="Arial" w:hAnsi="Arial" w:cs="Arial"/>
          <w:b/>
          <w:sz w:val="24"/>
        </w:rPr>
      </w:pPr>
      <w:r w:rsidRPr="00F66F3A">
        <w:rPr>
          <w:rFonts w:ascii="Arial" w:hAnsi="Arial" w:cs="Arial"/>
          <w:b/>
          <w:sz w:val="24"/>
        </w:rPr>
        <w:t>References</w:t>
      </w:r>
    </w:p>
    <w:p w:rsidR="00AF7A0C" w:rsidRPr="00AF7A0C" w:rsidRDefault="00AF7A0C" w:rsidP="00FB282F">
      <w:pPr>
        <w:pStyle w:val="EndNoteBibliography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F7A0C">
        <w:rPr>
          <w:rFonts w:ascii="Arial" w:hAnsi="Arial" w:cs="Arial"/>
          <w:sz w:val="24"/>
          <w:szCs w:val="24"/>
        </w:rPr>
        <w:t xml:space="preserve">Othman, </w:t>
      </w:r>
      <w:r w:rsidR="00FB282F">
        <w:rPr>
          <w:rFonts w:ascii="Arial" w:hAnsi="Arial" w:cs="Arial"/>
          <w:sz w:val="24"/>
          <w:szCs w:val="24"/>
        </w:rPr>
        <w:t xml:space="preserve">R.; </w:t>
      </w:r>
      <w:r w:rsidRPr="00AF7A0C">
        <w:rPr>
          <w:rFonts w:ascii="Arial" w:hAnsi="Arial" w:cs="Arial"/>
          <w:sz w:val="24"/>
          <w:szCs w:val="24"/>
        </w:rPr>
        <w:t>Dicks,</w:t>
      </w:r>
      <w:r w:rsidR="00FB282F">
        <w:rPr>
          <w:rFonts w:ascii="Arial" w:hAnsi="Arial" w:cs="Arial"/>
          <w:sz w:val="24"/>
          <w:szCs w:val="24"/>
        </w:rPr>
        <w:t xml:space="preserve"> A. L.;</w:t>
      </w:r>
      <w:r w:rsidRPr="00AF7A0C">
        <w:rPr>
          <w:rFonts w:ascii="Arial" w:hAnsi="Arial" w:cs="Arial"/>
          <w:sz w:val="24"/>
          <w:szCs w:val="24"/>
        </w:rPr>
        <w:t xml:space="preserve"> Zhu</w:t>
      </w:r>
      <w:r w:rsidR="00FB282F">
        <w:rPr>
          <w:rFonts w:ascii="Arial" w:hAnsi="Arial" w:cs="Arial"/>
          <w:sz w:val="24"/>
          <w:szCs w:val="24"/>
        </w:rPr>
        <w:t>, Z.</w:t>
      </w:r>
      <w:r w:rsidRPr="00AF7A0C">
        <w:rPr>
          <w:rFonts w:ascii="Arial" w:hAnsi="Arial" w:cs="Arial"/>
          <w:sz w:val="24"/>
          <w:szCs w:val="24"/>
        </w:rPr>
        <w:t xml:space="preserve"> </w:t>
      </w:r>
      <w:r w:rsidRPr="0072208C">
        <w:rPr>
          <w:rFonts w:ascii="Arial" w:hAnsi="Arial" w:cs="Arial"/>
          <w:i/>
          <w:sz w:val="24"/>
          <w:szCs w:val="24"/>
        </w:rPr>
        <w:t>Int. J. Hydrog. Energy</w:t>
      </w:r>
      <w:r>
        <w:rPr>
          <w:rFonts w:ascii="Arial" w:hAnsi="Arial" w:cs="Arial"/>
          <w:sz w:val="24"/>
          <w:szCs w:val="24"/>
        </w:rPr>
        <w:t xml:space="preserve"> </w:t>
      </w:r>
      <w:r w:rsidRPr="00AF7A0C">
        <w:rPr>
          <w:rFonts w:ascii="Arial" w:hAnsi="Arial" w:cs="Arial"/>
          <w:b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 xml:space="preserve">, </w:t>
      </w:r>
      <w:r w:rsidRPr="00AF7A0C">
        <w:rPr>
          <w:rFonts w:ascii="Arial" w:hAnsi="Arial" w:cs="Arial"/>
          <w:i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,</w:t>
      </w:r>
      <w:r w:rsidR="0072208C">
        <w:rPr>
          <w:rFonts w:ascii="Arial" w:hAnsi="Arial" w:cs="Arial"/>
          <w:sz w:val="24"/>
          <w:szCs w:val="24"/>
        </w:rPr>
        <w:t xml:space="preserve"> 357</w:t>
      </w:r>
      <w:r w:rsidRPr="00AF7A0C">
        <w:rPr>
          <w:rFonts w:ascii="Arial" w:hAnsi="Arial" w:cs="Arial"/>
          <w:sz w:val="24"/>
          <w:szCs w:val="24"/>
        </w:rPr>
        <w:t>.</w:t>
      </w:r>
    </w:p>
    <w:p w:rsidR="00C83BD5" w:rsidRDefault="00843D67" w:rsidP="00843D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B2DDC">
        <w:rPr>
          <w:rFonts w:ascii="Arial" w:hAnsi="Arial" w:cs="Arial"/>
          <w:sz w:val="24"/>
          <w:szCs w:val="24"/>
        </w:rPr>
        <w:t>Sutka</w:t>
      </w:r>
      <w:r w:rsidR="00FB282F">
        <w:rPr>
          <w:rFonts w:ascii="Arial" w:hAnsi="Arial" w:cs="Arial"/>
          <w:sz w:val="24"/>
          <w:szCs w:val="24"/>
        </w:rPr>
        <w:t>, A.;</w:t>
      </w:r>
      <w:r w:rsidR="00CF3B23" w:rsidRPr="00AB2DDC">
        <w:rPr>
          <w:rFonts w:ascii="Arial" w:hAnsi="Arial" w:cs="Arial"/>
          <w:sz w:val="24"/>
          <w:szCs w:val="24"/>
        </w:rPr>
        <w:t xml:space="preserve"> </w:t>
      </w:r>
      <w:r w:rsidRPr="00AB2DDC">
        <w:rPr>
          <w:rFonts w:ascii="Arial" w:hAnsi="Arial" w:cs="Arial"/>
          <w:sz w:val="24"/>
          <w:szCs w:val="24"/>
        </w:rPr>
        <w:t>Mezinkis</w:t>
      </w:r>
      <w:r w:rsidR="00FB282F">
        <w:rPr>
          <w:rFonts w:ascii="Arial" w:hAnsi="Arial" w:cs="Arial"/>
          <w:sz w:val="24"/>
          <w:szCs w:val="24"/>
        </w:rPr>
        <w:t>,</w:t>
      </w:r>
      <w:r w:rsidRPr="00AB2DDC">
        <w:rPr>
          <w:rFonts w:ascii="Arial" w:hAnsi="Arial" w:cs="Arial"/>
          <w:sz w:val="24"/>
          <w:szCs w:val="24"/>
        </w:rPr>
        <w:t xml:space="preserve"> G.</w:t>
      </w:r>
      <w:r w:rsidR="00A60ACE">
        <w:rPr>
          <w:rFonts w:ascii="Arial" w:hAnsi="Arial" w:cs="Arial"/>
          <w:sz w:val="24"/>
          <w:szCs w:val="24"/>
        </w:rPr>
        <w:t xml:space="preserve"> </w:t>
      </w:r>
      <w:r w:rsidRPr="00AB2DDC">
        <w:rPr>
          <w:rFonts w:ascii="Arial" w:hAnsi="Arial" w:cs="Arial"/>
          <w:i/>
          <w:sz w:val="24"/>
          <w:szCs w:val="24"/>
        </w:rPr>
        <w:t xml:space="preserve">Front. Mater. Sci. </w:t>
      </w:r>
      <w:r w:rsidR="00BC72C7">
        <w:rPr>
          <w:rFonts w:ascii="Arial" w:hAnsi="Arial" w:cs="Arial"/>
          <w:b/>
          <w:sz w:val="24"/>
          <w:szCs w:val="24"/>
        </w:rPr>
        <w:t>2012</w:t>
      </w:r>
      <w:r w:rsidR="00BC72C7">
        <w:rPr>
          <w:rFonts w:ascii="Arial" w:hAnsi="Arial" w:cs="Arial"/>
          <w:sz w:val="24"/>
          <w:szCs w:val="24"/>
        </w:rPr>
        <w:t xml:space="preserve">, </w:t>
      </w:r>
      <w:r w:rsidR="00BC72C7" w:rsidRPr="00BC72C7">
        <w:rPr>
          <w:rFonts w:ascii="Arial" w:hAnsi="Arial" w:cs="Arial"/>
          <w:i/>
          <w:sz w:val="24"/>
          <w:szCs w:val="24"/>
        </w:rPr>
        <w:t>6</w:t>
      </w:r>
      <w:r w:rsidR="00BC72C7">
        <w:rPr>
          <w:rFonts w:ascii="Arial" w:hAnsi="Arial" w:cs="Arial"/>
          <w:sz w:val="24"/>
          <w:szCs w:val="24"/>
        </w:rPr>
        <w:t>,</w:t>
      </w:r>
      <w:r w:rsidRPr="00AB2DDC">
        <w:rPr>
          <w:rFonts w:ascii="Arial" w:hAnsi="Arial" w:cs="Arial"/>
          <w:sz w:val="24"/>
          <w:szCs w:val="24"/>
        </w:rPr>
        <w:t xml:space="preserve"> 128.</w:t>
      </w:r>
    </w:p>
    <w:p w:rsidR="00493270" w:rsidRDefault="00493270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70" w:rsidRDefault="00493270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70" w:rsidRDefault="00493270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70" w:rsidRDefault="00493270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70" w:rsidRDefault="00493270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1921" w:rsidRDefault="00AC1921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1921" w:rsidRDefault="00AC1921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270" w:rsidRPr="00493270" w:rsidRDefault="00493270" w:rsidP="00493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3270">
        <w:rPr>
          <w:rFonts w:ascii="Arial" w:hAnsi="Arial" w:cs="Arial"/>
          <w:b/>
          <w:sz w:val="24"/>
          <w:szCs w:val="24"/>
        </w:rPr>
        <w:t>Nanomaterials</w:t>
      </w:r>
    </w:p>
    <w:sectPr w:rsidR="00493270" w:rsidRPr="00493270" w:rsidSect="00A12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885"/>
    <w:multiLevelType w:val="hybridMultilevel"/>
    <w:tmpl w:val="9258D6C6"/>
    <w:lvl w:ilvl="0" w:tplc="13F049B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A52E7"/>
    <w:multiLevelType w:val="hybridMultilevel"/>
    <w:tmpl w:val="5D7E222A"/>
    <w:lvl w:ilvl="0" w:tplc="13CA7E82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C1"/>
    <w:rsid w:val="0003670A"/>
    <w:rsid w:val="000B4E3F"/>
    <w:rsid w:val="000D68C1"/>
    <w:rsid w:val="00150395"/>
    <w:rsid w:val="002034AB"/>
    <w:rsid w:val="00205194"/>
    <w:rsid w:val="00252044"/>
    <w:rsid w:val="00285C52"/>
    <w:rsid w:val="002C1C50"/>
    <w:rsid w:val="00337936"/>
    <w:rsid w:val="003875AA"/>
    <w:rsid w:val="0041286F"/>
    <w:rsid w:val="00466391"/>
    <w:rsid w:val="0049017A"/>
    <w:rsid w:val="00493270"/>
    <w:rsid w:val="004B32CB"/>
    <w:rsid w:val="0052574D"/>
    <w:rsid w:val="0055578A"/>
    <w:rsid w:val="00556662"/>
    <w:rsid w:val="0057604E"/>
    <w:rsid w:val="006246BA"/>
    <w:rsid w:val="006A5DB4"/>
    <w:rsid w:val="006E485A"/>
    <w:rsid w:val="0072208C"/>
    <w:rsid w:val="00843D67"/>
    <w:rsid w:val="00843F7E"/>
    <w:rsid w:val="00885E88"/>
    <w:rsid w:val="00891411"/>
    <w:rsid w:val="009023DF"/>
    <w:rsid w:val="009E5DD5"/>
    <w:rsid w:val="00A12E29"/>
    <w:rsid w:val="00A235FD"/>
    <w:rsid w:val="00A443A8"/>
    <w:rsid w:val="00A60ACE"/>
    <w:rsid w:val="00AB2DDC"/>
    <w:rsid w:val="00AC1921"/>
    <w:rsid w:val="00AF1EC2"/>
    <w:rsid w:val="00AF7A0C"/>
    <w:rsid w:val="00B1058C"/>
    <w:rsid w:val="00B35398"/>
    <w:rsid w:val="00BA0568"/>
    <w:rsid w:val="00BC72C7"/>
    <w:rsid w:val="00C83BD5"/>
    <w:rsid w:val="00CE2AE0"/>
    <w:rsid w:val="00CF3B23"/>
    <w:rsid w:val="00D335EA"/>
    <w:rsid w:val="00D63EDF"/>
    <w:rsid w:val="00E14417"/>
    <w:rsid w:val="00E47298"/>
    <w:rsid w:val="00F076A2"/>
    <w:rsid w:val="00F272B7"/>
    <w:rsid w:val="00F66F3A"/>
    <w:rsid w:val="00FB282F"/>
    <w:rsid w:val="00FB2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02B01-C58A-4CB0-AD6E-4A09C0CF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D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D67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AF7A0C"/>
    <w:pPr>
      <w:spacing w:after="160" w:line="240" w:lineRule="auto"/>
      <w:jc w:val="both"/>
    </w:pPr>
    <w:rPr>
      <w:rFonts w:ascii="Calibri" w:eastAsia="Times New Roman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AF7A0C"/>
    <w:rPr>
      <w:rFonts w:ascii="Calibri" w:eastAsia="Times New Roman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</dc:creator>
  <cp:keywords/>
  <dc:description/>
  <cp:lastModifiedBy>Disha</cp:lastModifiedBy>
  <cp:revision>21</cp:revision>
  <dcterms:created xsi:type="dcterms:W3CDTF">2019-01-22T16:14:00Z</dcterms:created>
  <dcterms:modified xsi:type="dcterms:W3CDTF">2019-01-22T16:31:00Z</dcterms:modified>
</cp:coreProperties>
</file>